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2986" w14:textId="77777777" w:rsidR="009A479B" w:rsidRPr="004D171C" w:rsidRDefault="009A479B" w:rsidP="009A479B">
      <w:pPr>
        <w:spacing w:line="288" w:lineRule="auto"/>
        <w:rPr>
          <w:rFonts w:ascii="Arial" w:hAnsi="Arial" w:cs="Arial"/>
          <w:b/>
          <w:bCs/>
          <w:sz w:val="20"/>
          <w:szCs w:val="20"/>
        </w:rPr>
      </w:pPr>
    </w:p>
    <w:p w14:paraId="46F2C8FF" w14:textId="77777777" w:rsidR="007E662B" w:rsidRDefault="007E662B" w:rsidP="009A479B">
      <w:pPr>
        <w:spacing w:line="288" w:lineRule="auto"/>
        <w:jc w:val="center"/>
        <w:rPr>
          <w:rFonts w:ascii="Arial" w:hAnsi="Arial" w:cs="Arial"/>
          <w:b/>
          <w:bCs/>
          <w:sz w:val="20"/>
          <w:szCs w:val="20"/>
        </w:rPr>
      </w:pPr>
    </w:p>
    <w:p w14:paraId="1ED3DDF0" w14:textId="00D35865" w:rsidR="009A479B" w:rsidRPr="00B65CD4" w:rsidRDefault="009A479B" w:rsidP="009A479B">
      <w:pPr>
        <w:spacing w:line="288" w:lineRule="auto"/>
        <w:jc w:val="center"/>
        <w:rPr>
          <w:rFonts w:ascii="Arial" w:hAnsi="Arial" w:cs="Arial"/>
          <w:b/>
          <w:bCs/>
          <w:sz w:val="20"/>
          <w:szCs w:val="20"/>
        </w:rPr>
      </w:pPr>
      <w:r w:rsidRPr="00B65CD4">
        <w:rPr>
          <w:rFonts w:ascii="Arial" w:hAnsi="Arial" w:cs="Arial"/>
          <w:b/>
          <w:bCs/>
          <w:sz w:val="20"/>
          <w:szCs w:val="20"/>
        </w:rPr>
        <w:t>BENDRASIS BALSAVIMO BIULETENIS</w:t>
      </w:r>
    </w:p>
    <w:p w14:paraId="07897C59" w14:textId="3EB4D86E" w:rsidR="00225C03" w:rsidRPr="00B65CD4" w:rsidRDefault="003B4220" w:rsidP="009A479B">
      <w:pPr>
        <w:spacing w:line="288" w:lineRule="auto"/>
        <w:jc w:val="center"/>
        <w:rPr>
          <w:rFonts w:ascii="Arial" w:hAnsi="Arial" w:cs="Arial"/>
          <w:sz w:val="20"/>
          <w:szCs w:val="20"/>
        </w:rPr>
      </w:pPr>
      <w:r w:rsidRPr="00B65CD4">
        <w:rPr>
          <w:rFonts w:ascii="Arial" w:hAnsi="Arial" w:cs="Arial"/>
          <w:sz w:val="20"/>
          <w:szCs w:val="20"/>
        </w:rPr>
        <w:t xml:space="preserve">AUGA GROUP, AB IŠLEISTŲ </w:t>
      </w:r>
      <w:r w:rsidR="009A479B" w:rsidRPr="00B65CD4">
        <w:rPr>
          <w:rFonts w:ascii="Arial" w:hAnsi="Arial" w:cs="Arial"/>
          <w:sz w:val="20"/>
          <w:szCs w:val="20"/>
        </w:rPr>
        <w:t xml:space="preserve">OBLIGACIJŲ </w:t>
      </w:r>
      <w:r w:rsidR="00225C03" w:rsidRPr="00B65CD4">
        <w:rPr>
          <w:rFonts w:ascii="Arial" w:hAnsi="Arial" w:cs="Arial"/>
          <w:sz w:val="20"/>
          <w:szCs w:val="20"/>
        </w:rPr>
        <w:t>EMISIJOS (ISIN KODAS LT0000404238)</w:t>
      </w:r>
    </w:p>
    <w:p w14:paraId="40F5F503" w14:textId="7F77816C" w:rsidR="009A479B" w:rsidRDefault="009A479B" w:rsidP="009A479B">
      <w:pPr>
        <w:spacing w:line="288" w:lineRule="auto"/>
        <w:jc w:val="center"/>
        <w:rPr>
          <w:rFonts w:ascii="Arial" w:hAnsi="Arial" w:cs="Arial"/>
          <w:sz w:val="20"/>
          <w:szCs w:val="20"/>
        </w:rPr>
      </w:pPr>
      <w:r w:rsidRPr="00B65CD4">
        <w:rPr>
          <w:rFonts w:ascii="Arial" w:hAnsi="Arial" w:cs="Arial"/>
          <w:sz w:val="20"/>
          <w:szCs w:val="20"/>
        </w:rPr>
        <w:t xml:space="preserve">SAVININKŲ </w:t>
      </w:r>
      <w:r w:rsidR="00B97819" w:rsidRPr="00B65CD4">
        <w:rPr>
          <w:rFonts w:ascii="Arial" w:hAnsi="Arial" w:cs="Arial"/>
          <w:sz w:val="20"/>
          <w:szCs w:val="20"/>
        </w:rPr>
        <w:t>20</w:t>
      </w:r>
      <w:r w:rsidR="00B97819" w:rsidRPr="00B65CD4">
        <w:rPr>
          <w:rFonts w:ascii="Arial" w:hAnsi="Arial" w:cs="Arial"/>
          <w:sz w:val="20"/>
          <w:szCs w:val="20"/>
          <w:lang w:val="en-US"/>
        </w:rPr>
        <w:t xml:space="preserve">22-12-08 </w:t>
      </w:r>
      <w:r w:rsidRPr="00B65CD4">
        <w:rPr>
          <w:rFonts w:ascii="Arial" w:hAnsi="Arial" w:cs="Arial"/>
          <w:sz w:val="20"/>
          <w:szCs w:val="20"/>
        </w:rPr>
        <w:t>SUSIRINKIMAS</w:t>
      </w:r>
    </w:p>
    <w:p w14:paraId="26AD0180" w14:textId="77777777" w:rsidR="00B97819" w:rsidRPr="004D171C" w:rsidRDefault="00B97819" w:rsidP="009A479B">
      <w:pPr>
        <w:spacing w:line="288" w:lineRule="auto"/>
        <w:jc w:val="center"/>
        <w:rPr>
          <w:rFonts w:ascii="Arial" w:hAnsi="Arial" w:cs="Arial"/>
          <w:sz w:val="20"/>
          <w:szCs w:val="20"/>
        </w:rPr>
      </w:pPr>
    </w:p>
    <w:p w14:paraId="36C5501A" w14:textId="773ACF49" w:rsidR="009A479B" w:rsidRDefault="00B97819" w:rsidP="009A479B">
      <w:pPr>
        <w:spacing w:line="288" w:lineRule="auto"/>
        <w:jc w:val="center"/>
        <w:rPr>
          <w:rFonts w:ascii="Arial" w:hAnsi="Arial" w:cs="Arial"/>
          <w:iCs/>
          <w:sz w:val="20"/>
          <w:szCs w:val="20"/>
        </w:rPr>
      </w:pPr>
      <w:r>
        <w:rPr>
          <w:rFonts w:ascii="Arial" w:hAnsi="Arial" w:cs="Arial"/>
          <w:iCs/>
          <w:sz w:val="20"/>
          <w:szCs w:val="20"/>
        </w:rPr>
        <w:t xml:space="preserve">GENERAL </w:t>
      </w:r>
      <w:r w:rsidR="009A479B" w:rsidRPr="004D171C">
        <w:rPr>
          <w:rFonts w:ascii="Arial" w:hAnsi="Arial" w:cs="Arial"/>
          <w:iCs/>
          <w:sz w:val="20"/>
          <w:szCs w:val="20"/>
        </w:rPr>
        <w:t>VOTING BALLOT</w:t>
      </w:r>
      <w:r>
        <w:rPr>
          <w:rFonts w:ascii="Arial" w:hAnsi="Arial" w:cs="Arial"/>
          <w:iCs/>
          <w:sz w:val="20"/>
          <w:szCs w:val="20"/>
        </w:rPr>
        <w:t xml:space="preserve"> </w:t>
      </w:r>
    </w:p>
    <w:p w14:paraId="262F1171" w14:textId="1152539D" w:rsidR="00B65CD4" w:rsidRDefault="00B65CD4" w:rsidP="009A479B">
      <w:pPr>
        <w:spacing w:line="288" w:lineRule="auto"/>
        <w:jc w:val="center"/>
        <w:rPr>
          <w:rFonts w:ascii="Arial" w:hAnsi="Arial" w:cs="Arial"/>
          <w:iCs/>
          <w:sz w:val="20"/>
          <w:szCs w:val="20"/>
        </w:rPr>
      </w:pPr>
      <w:r>
        <w:rPr>
          <w:rFonts w:ascii="Arial" w:hAnsi="Arial" w:cs="Arial"/>
          <w:iCs/>
          <w:sz w:val="20"/>
          <w:szCs w:val="20"/>
        </w:rPr>
        <w:t>CONCERNING 2022-12-08 BONHOLDERS MEETING OF AUGA GROUP, AB REGARDING BOND EMISSION ISIN NO. LT0000404238</w:t>
      </w:r>
    </w:p>
    <w:p w14:paraId="1E5E5D3E" w14:textId="77777777" w:rsidR="00D36138" w:rsidRDefault="00D36138" w:rsidP="009A479B">
      <w:pPr>
        <w:spacing w:line="288" w:lineRule="auto"/>
        <w:jc w:val="center"/>
        <w:rPr>
          <w:rFonts w:ascii="Arial" w:hAnsi="Arial" w:cs="Arial"/>
          <w:iCs/>
          <w:sz w:val="20"/>
          <w:szCs w:val="20"/>
        </w:rPr>
      </w:pPr>
    </w:p>
    <w:p w14:paraId="5DC1EEC8" w14:textId="77777777" w:rsidR="00B97819" w:rsidRPr="004D171C" w:rsidRDefault="00B97819" w:rsidP="009A479B">
      <w:pPr>
        <w:spacing w:line="288" w:lineRule="auto"/>
        <w:jc w:val="center"/>
        <w:rPr>
          <w:rFonts w:ascii="Arial" w:hAnsi="Arial" w:cs="Arial"/>
          <w:sz w:val="20"/>
          <w:szCs w:val="20"/>
        </w:rPr>
      </w:pPr>
    </w:p>
    <w:p w14:paraId="4FB8C721" w14:textId="5F2A8ED9" w:rsidR="009A479B" w:rsidRPr="004D171C" w:rsidRDefault="009A479B" w:rsidP="009A479B">
      <w:pPr>
        <w:spacing w:line="288" w:lineRule="auto"/>
        <w:jc w:val="center"/>
        <w:rPr>
          <w:rFonts w:ascii="Arial" w:hAnsi="Arial" w:cs="Arial"/>
          <w:sz w:val="20"/>
          <w:szCs w:val="20"/>
        </w:rPr>
      </w:pPr>
      <w:r>
        <w:rPr>
          <w:rFonts w:ascii="Arial" w:hAnsi="Arial" w:cs="Arial"/>
          <w:sz w:val="20"/>
          <w:szCs w:val="20"/>
        </w:rPr>
        <w:t>OBLIGACIJŲ SAVININKO</w:t>
      </w:r>
      <w:r w:rsidRPr="004D171C">
        <w:rPr>
          <w:rFonts w:ascii="Arial" w:hAnsi="Arial" w:cs="Arial"/>
          <w:sz w:val="20"/>
          <w:szCs w:val="20"/>
        </w:rPr>
        <w:t xml:space="preserve"> DUOMENYS/DETAILS OF THE </w:t>
      </w:r>
      <w:r>
        <w:rPr>
          <w:rFonts w:ascii="Arial" w:hAnsi="Arial" w:cs="Arial"/>
          <w:sz w:val="20"/>
          <w:szCs w:val="20"/>
        </w:rPr>
        <w:t>BOND</w:t>
      </w:r>
      <w:r w:rsidRPr="004D171C">
        <w:rPr>
          <w:rFonts w:ascii="Arial" w:hAnsi="Arial" w:cs="Arial"/>
          <w:sz w:val="20"/>
          <w:szCs w:val="20"/>
        </w:rPr>
        <w:t>HOLDER</w:t>
      </w:r>
    </w:p>
    <w:p w14:paraId="7EBC15B3" w14:textId="77777777" w:rsidR="009A479B" w:rsidRPr="004D171C" w:rsidRDefault="009A479B" w:rsidP="009A479B">
      <w:pPr>
        <w:spacing w:line="288" w:lineRule="auto"/>
        <w:rPr>
          <w:rFonts w:ascii="Arial" w:hAnsi="Arial" w:cs="Arial"/>
          <w:sz w:val="20"/>
          <w:szCs w:val="20"/>
        </w:rPr>
      </w:pPr>
    </w:p>
    <w:p w14:paraId="109976A1" w14:textId="6D8E48CA" w:rsidR="009A479B" w:rsidRPr="004D171C" w:rsidRDefault="009A479B" w:rsidP="009A479B">
      <w:pPr>
        <w:spacing w:line="288" w:lineRule="auto"/>
        <w:rPr>
          <w:rFonts w:ascii="Arial" w:hAnsi="Arial" w:cs="Arial"/>
          <w:b/>
          <w:bCs/>
          <w:sz w:val="20"/>
          <w:szCs w:val="20"/>
        </w:rPr>
      </w:pPr>
      <w:r>
        <w:rPr>
          <w:rFonts w:ascii="Arial" w:hAnsi="Arial" w:cs="Arial"/>
          <w:sz w:val="20"/>
          <w:szCs w:val="20"/>
        </w:rPr>
        <w:t>Obligacijų savininkas</w:t>
      </w:r>
      <w:r w:rsidRPr="004D171C">
        <w:rPr>
          <w:rFonts w:ascii="Arial" w:hAnsi="Arial" w:cs="Arial"/>
          <w:sz w:val="20"/>
          <w:szCs w:val="20"/>
        </w:rPr>
        <w:t xml:space="preserve"> (</w:t>
      </w:r>
      <w:r w:rsidRPr="000179F6">
        <w:rPr>
          <w:rFonts w:ascii="Arial" w:hAnsi="Arial" w:cs="Arial"/>
          <w:i/>
          <w:iCs/>
          <w:sz w:val="20"/>
          <w:szCs w:val="20"/>
          <w:lang w:val="en-GB"/>
        </w:rPr>
        <w:t xml:space="preserve">the </w:t>
      </w:r>
      <w:r>
        <w:rPr>
          <w:rFonts w:ascii="Arial" w:hAnsi="Arial" w:cs="Arial"/>
          <w:i/>
          <w:iCs/>
          <w:sz w:val="20"/>
          <w:szCs w:val="20"/>
          <w:lang w:val="en-GB"/>
        </w:rPr>
        <w:t>bond</w:t>
      </w:r>
      <w:r w:rsidRPr="000179F6">
        <w:rPr>
          <w:rFonts w:ascii="Arial" w:hAnsi="Arial" w:cs="Arial"/>
          <w:i/>
          <w:iCs/>
          <w:sz w:val="20"/>
          <w:szCs w:val="20"/>
          <w:lang w:val="en-GB"/>
        </w:rPr>
        <w:t>holder</w:t>
      </w:r>
      <w:r w:rsidRPr="004D171C">
        <w:rPr>
          <w:rFonts w:ascii="Arial" w:hAnsi="Arial" w:cs="Arial"/>
          <w:sz w:val="20"/>
          <w:szCs w:val="20"/>
        </w:rPr>
        <w:t xml:space="preserve">): </w:t>
      </w:r>
      <w:r w:rsidRPr="004D171C">
        <w:rPr>
          <w:rFonts w:ascii="Arial" w:hAnsi="Arial" w:cs="Arial"/>
          <w:b/>
          <w:sz w:val="20"/>
          <w:szCs w:val="20"/>
        </w:rPr>
        <w:t>___________________________________________________________</w:t>
      </w:r>
    </w:p>
    <w:p w14:paraId="6A68C90A" w14:textId="77777777" w:rsidR="009A479B" w:rsidRPr="004D171C" w:rsidRDefault="009A479B" w:rsidP="009A479B">
      <w:pPr>
        <w:tabs>
          <w:tab w:val="left" w:pos="2160"/>
        </w:tabs>
        <w:spacing w:line="288" w:lineRule="auto"/>
        <w:rPr>
          <w:rFonts w:ascii="Arial" w:hAnsi="Arial" w:cs="Arial"/>
          <w:sz w:val="20"/>
          <w:szCs w:val="20"/>
          <w:lang w:val="en-GB"/>
        </w:rPr>
      </w:pPr>
      <w:r>
        <w:rPr>
          <w:rFonts w:ascii="Arial" w:hAnsi="Arial" w:cs="Arial"/>
          <w:sz w:val="20"/>
          <w:szCs w:val="20"/>
        </w:rPr>
        <w:tab/>
      </w:r>
      <w:r w:rsidRPr="004D171C">
        <w:rPr>
          <w:rFonts w:ascii="Arial" w:hAnsi="Arial" w:cs="Arial"/>
          <w:sz w:val="20"/>
          <w:szCs w:val="20"/>
        </w:rPr>
        <w:t>(vardas, pavardė / juridinio asmens pavadinimas (</w:t>
      </w:r>
      <w:r w:rsidRPr="000179F6">
        <w:rPr>
          <w:rFonts w:ascii="Arial" w:hAnsi="Arial" w:cs="Arial"/>
          <w:i/>
          <w:iCs/>
          <w:sz w:val="20"/>
          <w:szCs w:val="20"/>
        </w:rPr>
        <w:t xml:space="preserve">name, </w:t>
      </w:r>
      <w:r w:rsidRPr="000179F6">
        <w:rPr>
          <w:rFonts w:ascii="Arial" w:hAnsi="Arial" w:cs="Arial"/>
          <w:i/>
          <w:iCs/>
          <w:sz w:val="20"/>
          <w:szCs w:val="20"/>
          <w:lang w:val="en-GB"/>
        </w:rPr>
        <w:t>surname / name of legal entity</w:t>
      </w:r>
      <w:r w:rsidRPr="004D171C">
        <w:rPr>
          <w:rFonts w:ascii="Arial" w:hAnsi="Arial" w:cs="Arial"/>
          <w:sz w:val="20"/>
          <w:szCs w:val="20"/>
          <w:lang w:val="en-GB"/>
        </w:rPr>
        <w:t>)</w:t>
      </w:r>
    </w:p>
    <w:p w14:paraId="50F57A92" w14:textId="77777777" w:rsidR="009A479B" w:rsidRPr="004D171C" w:rsidRDefault="009A479B" w:rsidP="009A479B">
      <w:pPr>
        <w:spacing w:line="288" w:lineRule="auto"/>
        <w:rPr>
          <w:rFonts w:ascii="Arial" w:hAnsi="Arial" w:cs="Arial"/>
          <w:sz w:val="20"/>
          <w:szCs w:val="20"/>
        </w:rPr>
      </w:pPr>
      <w:r w:rsidRPr="004D171C">
        <w:rPr>
          <w:rFonts w:ascii="Arial" w:hAnsi="Arial" w:cs="Arial"/>
          <w:sz w:val="20"/>
          <w:szCs w:val="20"/>
        </w:rPr>
        <w:t xml:space="preserve">Asmens (įmonės) kodas </w:t>
      </w:r>
      <w:r w:rsidRPr="004D171C">
        <w:rPr>
          <w:rFonts w:ascii="Arial" w:hAnsi="Arial" w:cs="Arial"/>
          <w:sz w:val="20"/>
          <w:szCs w:val="20"/>
          <w:lang w:val="en-GB"/>
        </w:rPr>
        <w:t>(</w:t>
      </w:r>
      <w:r w:rsidRPr="000179F6">
        <w:rPr>
          <w:rFonts w:ascii="Arial" w:hAnsi="Arial" w:cs="Arial"/>
          <w:i/>
          <w:iCs/>
          <w:sz w:val="20"/>
          <w:szCs w:val="20"/>
          <w:lang w:val="en-GB"/>
        </w:rPr>
        <w:t>Personal (legal entity) code</w:t>
      </w:r>
      <w:r w:rsidRPr="004D171C">
        <w:rPr>
          <w:rFonts w:ascii="Arial" w:hAnsi="Arial" w:cs="Arial"/>
          <w:sz w:val="20"/>
          <w:szCs w:val="20"/>
          <w:lang w:val="en-GB"/>
        </w:rPr>
        <w:t>)</w:t>
      </w:r>
      <w:r w:rsidRPr="004D171C">
        <w:rPr>
          <w:rFonts w:ascii="Arial" w:hAnsi="Arial" w:cs="Arial"/>
          <w:sz w:val="20"/>
          <w:szCs w:val="20"/>
        </w:rPr>
        <w:t xml:space="preserve"> : ___________________________________________</w:t>
      </w:r>
    </w:p>
    <w:p w14:paraId="746C0921" w14:textId="04A10524" w:rsidR="009A479B" w:rsidRPr="004D171C" w:rsidRDefault="009A479B" w:rsidP="009A479B">
      <w:pPr>
        <w:spacing w:line="288" w:lineRule="auto"/>
        <w:rPr>
          <w:rFonts w:ascii="Arial" w:hAnsi="Arial" w:cs="Arial"/>
          <w:sz w:val="20"/>
          <w:szCs w:val="20"/>
        </w:rPr>
      </w:pPr>
      <w:r>
        <w:rPr>
          <w:rFonts w:ascii="Arial" w:hAnsi="Arial" w:cs="Arial"/>
          <w:sz w:val="20"/>
          <w:szCs w:val="20"/>
        </w:rPr>
        <w:t>Obligacijų</w:t>
      </w:r>
      <w:r w:rsidRPr="004D171C">
        <w:rPr>
          <w:rFonts w:ascii="Arial" w:hAnsi="Arial" w:cs="Arial"/>
          <w:sz w:val="20"/>
          <w:szCs w:val="20"/>
        </w:rPr>
        <w:t xml:space="preserve"> skaičius (</w:t>
      </w:r>
      <w:r w:rsidRPr="000179F6">
        <w:rPr>
          <w:rFonts w:ascii="Arial" w:hAnsi="Arial" w:cs="Arial"/>
          <w:i/>
          <w:iCs/>
          <w:sz w:val="20"/>
          <w:szCs w:val="20"/>
          <w:lang w:val="en-GB"/>
        </w:rPr>
        <w:t xml:space="preserve">number of </w:t>
      </w:r>
      <w:r>
        <w:rPr>
          <w:rFonts w:ascii="Arial" w:hAnsi="Arial" w:cs="Arial"/>
          <w:i/>
          <w:iCs/>
          <w:sz w:val="20"/>
          <w:szCs w:val="20"/>
          <w:lang w:val="en-GB"/>
        </w:rPr>
        <w:t>bonds</w:t>
      </w:r>
      <w:r w:rsidRPr="004D171C">
        <w:rPr>
          <w:rFonts w:ascii="Arial" w:hAnsi="Arial" w:cs="Arial"/>
          <w:sz w:val="20"/>
          <w:szCs w:val="20"/>
        </w:rPr>
        <w:t>): ___________________________________________</w:t>
      </w:r>
    </w:p>
    <w:p w14:paraId="6FA72BE0" w14:textId="77777777" w:rsidR="009A479B" w:rsidRPr="004D171C" w:rsidRDefault="009A479B" w:rsidP="009A479B">
      <w:pPr>
        <w:spacing w:line="288" w:lineRule="auto"/>
        <w:jc w:val="center"/>
        <w:rPr>
          <w:rFonts w:ascii="Arial" w:hAnsi="Arial" w:cs="Arial"/>
          <w:sz w:val="20"/>
          <w:szCs w:val="20"/>
        </w:rPr>
      </w:pPr>
    </w:p>
    <w:p w14:paraId="7B4B17FF" w14:textId="77777777" w:rsidR="009A479B" w:rsidRPr="004D171C" w:rsidRDefault="009A479B" w:rsidP="009A479B">
      <w:pPr>
        <w:spacing w:line="288" w:lineRule="auto"/>
        <w:jc w:val="center"/>
        <w:rPr>
          <w:rFonts w:ascii="Arial" w:hAnsi="Arial" w:cs="Arial"/>
          <w:sz w:val="20"/>
          <w:szCs w:val="20"/>
        </w:rPr>
      </w:pPr>
      <w:r w:rsidRPr="004D171C">
        <w:rPr>
          <w:rFonts w:ascii="Arial" w:hAnsi="Arial" w:cs="Arial"/>
          <w:sz w:val="20"/>
          <w:szCs w:val="20"/>
        </w:rPr>
        <w:t>BALSAVIMAS</w:t>
      </w:r>
    </w:p>
    <w:p w14:paraId="0AE499EF" w14:textId="77777777" w:rsidR="009A479B" w:rsidRPr="004D171C" w:rsidRDefault="009A479B" w:rsidP="009A479B">
      <w:pPr>
        <w:spacing w:line="288" w:lineRule="auto"/>
        <w:jc w:val="center"/>
        <w:rPr>
          <w:rFonts w:ascii="Arial" w:hAnsi="Arial" w:cs="Arial"/>
          <w:sz w:val="20"/>
          <w:szCs w:val="20"/>
        </w:rPr>
      </w:pPr>
      <w:r w:rsidRPr="004D171C">
        <w:rPr>
          <w:rFonts w:ascii="Arial" w:hAnsi="Arial" w:cs="Arial"/>
          <w:sz w:val="20"/>
          <w:szCs w:val="20"/>
        </w:rPr>
        <w:t>VOTING</w:t>
      </w:r>
    </w:p>
    <w:p w14:paraId="7EF228E2" w14:textId="77777777" w:rsidR="009A479B" w:rsidRPr="00606CF6" w:rsidRDefault="009A479B" w:rsidP="009A479B">
      <w:pPr>
        <w:spacing w:line="288" w:lineRule="auto"/>
        <w:jc w:val="both"/>
        <w:rPr>
          <w:rFonts w:ascii="Arial" w:hAnsi="Arial" w:cs="Arial"/>
          <w:bCs/>
          <w:iCs/>
          <w:sz w:val="20"/>
          <w:szCs w:val="20"/>
        </w:rPr>
      </w:pPr>
      <w:r w:rsidRPr="00606CF6">
        <w:rPr>
          <w:rFonts w:ascii="Arial" w:hAnsi="Arial" w:cs="Arial"/>
          <w:bCs/>
          <w:iCs/>
          <w:sz w:val="20"/>
          <w:szCs w:val="20"/>
        </w:rPr>
        <w:t>Prašome lentelėje apskritimu apibrėžti variantą, kurį pasirenkate: „UŽ“ arba „PRIEŠ“</w:t>
      </w:r>
    </w:p>
    <w:p w14:paraId="2B1755BF" w14:textId="77777777" w:rsidR="009A479B" w:rsidRPr="00606CF6" w:rsidRDefault="009A479B" w:rsidP="009A479B">
      <w:pPr>
        <w:spacing w:line="288" w:lineRule="auto"/>
        <w:jc w:val="both"/>
        <w:rPr>
          <w:rFonts w:ascii="Arial" w:hAnsi="Arial" w:cs="Arial"/>
          <w:bCs/>
          <w:i/>
          <w:sz w:val="20"/>
          <w:szCs w:val="20"/>
          <w:lang w:val="en-GB"/>
        </w:rPr>
      </w:pPr>
      <w:r w:rsidRPr="00606CF6">
        <w:rPr>
          <w:rFonts w:ascii="Arial" w:hAnsi="Arial" w:cs="Arial"/>
          <w:bCs/>
          <w:i/>
          <w:sz w:val="20"/>
          <w:szCs w:val="20"/>
          <w:lang w:val="en-GB"/>
        </w:rPr>
        <w:t>Please circle the option selected: „</w:t>
      </w:r>
      <w:proofErr w:type="gramStart"/>
      <w:r w:rsidRPr="00606CF6">
        <w:rPr>
          <w:rFonts w:ascii="Arial" w:hAnsi="Arial" w:cs="Arial"/>
          <w:bCs/>
          <w:i/>
          <w:sz w:val="20"/>
          <w:szCs w:val="20"/>
          <w:lang w:val="en-GB"/>
        </w:rPr>
        <w:t>FOR“ or</w:t>
      </w:r>
      <w:proofErr w:type="gramEnd"/>
      <w:r w:rsidRPr="00606CF6">
        <w:rPr>
          <w:rFonts w:ascii="Arial" w:hAnsi="Arial" w:cs="Arial"/>
          <w:bCs/>
          <w:i/>
          <w:sz w:val="20"/>
          <w:szCs w:val="20"/>
          <w:lang w:val="en-GB"/>
        </w:rPr>
        <w:t xml:space="preserve"> „AGAINST“</w:t>
      </w:r>
    </w:p>
    <w:p w14:paraId="39414CBD" w14:textId="0EFEEB5D" w:rsidR="009A479B" w:rsidRPr="004D171C" w:rsidRDefault="009A479B" w:rsidP="009A479B">
      <w:pPr>
        <w:pStyle w:val="BodyText"/>
        <w:spacing w:line="288" w:lineRule="auto"/>
        <w:rPr>
          <w:rFonts w:ascii="Arial" w:hAnsi="Arial" w:cs="Arial"/>
          <w:sz w:val="20"/>
          <w:szCs w:val="20"/>
        </w:rPr>
      </w:pPr>
      <w:r w:rsidRPr="004D171C">
        <w:rPr>
          <w:rFonts w:ascii="Arial" w:hAnsi="Arial" w:cs="Arial"/>
          <w:sz w:val="20"/>
          <w:szCs w:val="20"/>
        </w:rPr>
        <w:t>Šiame biuletenyje bendrovė „</w:t>
      </w:r>
      <w:r>
        <w:rPr>
          <w:rFonts w:ascii="Arial" w:hAnsi="Arial" w:cs="Arial"/>
          <w:sz w:val="20"/>
          <w:szCs w:val="20"/>
        </w:rPr>
        <w:t>AUGA GROUP</w:t>
      </w:r>
      <w:r w:rsidRPr="004D171C">
        <w:rPr>
          <w:rFonts w:ascii="Arial" w:hAnsi="Arial" w:cs="Arial"/>
          <w:sz w:val="20"/>
          <w:szCs w:val="20"/>
        </w:rPr>
        <w:t>“</w:t>
      </w:r>
      <w:r>
        <w:rPr>
          <w:rFonts w:ascii="Arial" w:hAnsi="Arial" w:cs="Arial"/>
          <w:sz w:val="20"/>
          <w:szCs w:val="20"/>
        </w:rPr>
        <w:t>, AB</w:t>
      </w:r>
      <w:r w:rsidRPr="004D171C">
        <w:rPr>
          <w:rFonts w:ascii="Arial" w:hAnsi="Arial" w:cs="Arial"/>
          <w:sz w:val="20"/>
          <w:szCs w:val="20"/>
        </w:rPr>
        <w:t xml:space="preserve"> vadinama ir „</w:t>
      </w:r>
      <w:r w:rsidRPr="004D171C">
        <w:rPr>
          <w:rFonts w:ascii="Arial" w:hAnsi="Arial" w:cs="Arial"/>
          <w:b/>
          <w:sz w:val="20"/>
          <w:szCs w:val="20"/>
        </w:rPr>
        <w:t>Bendrovė</w:t>
      </w:r>
      <w:r w:rsidRPr="004D171C">
        <w:rPr>
          <w:rFonts w:ascii="Arial" w:hAnsi="Arial" w:cs="Arial"/>
          <w:sz w:val="20"/>
          <w:szCs w:val="20"/>
        </w:rPr>
        <w:t>“.</w:t>
      </w:r>
    </w:p>
    <w:p w14:paraId="1929CC06" w14:textId="4F9DA991" w:rsidR="009A479B" w:rsidRPr="00D36138" w:rsidRDefault="009A479B" w:rsidP="009A479B">
      <w:pPr>
        <w:pStyle w:val="BodyText"/>
        <w:spacing w:line="288" w:lineRule="auto"/>
        <w:rPr>
          <w:rFonts w:ascii="Arial" w:hAnsi="Arial" w:cs="Arial"/>
          <w:i/>
          <w:iCs/>
          <w:sz w:val="20"/>
          <w:szCs w:val="20"/>
        </w:rPr>
      </w:pPr>
      <w:r w:rsidRPr="00606CF6">
        <w:rPr>
          <w:rFonts w:ascii="Arial" w:hAnsi="Arial" w:cs="Arial"/>
          <w:i/>
          <w:iCs/>
          <w:sz w:val="20"/>
          <w:szCs w:val="20"/>
          <w:lang w:val="en-GB"/>
        </w:rPr>
        <w:t xml:space="preserve">In this ballot the company „AUGA </w:t>
      </w:r>
      <w:proofErr w:type="gramStart"/>
      <w:r w:rsidRPr="00606CF6">
        <w:rPr>
          <w:rFonts w:ascii="Arial" w:hAnsi="Arial" w:cs="Arial"/>
          <w:i/>
          <w:iCs/>
          <w:sz w:val="20"/>
          <w:szCs w:val="20"/>
          <w:lang w:val="en-GB"/>
        </w:rPr>
        <w:t>GROUP“</w:t>
      </w:r>
      <w:proofErr w:type="gramEnd"/>
      <w:r w:rsidRPr="00606CF6">
        <w:rPr>
          <w:rFonts w:ascii="Arial" w:hAnsi="Arial" w:cs="Arial"/>
          <w:i/>
          <w:iCs/>
          <w:sz w:val="20"/>
          <w:szCs w:val="20"/>
          <w:lang w:val="en-GB"/>
        </w:rPr>
        <w:t>, AB also referred as the „</w:t>
      </w:r>
      <w:r w:rsidRPr="00606CF6">
        <w:rPr>
          <w:rFonts w:ascii="Arial" w:hAnsi="Arial" w:cs="Arial"/>
          <w:b/>
          <w:i/>
          <w:iCs/>
          <w:sz w:val="20"/>
          <w:szCs w:val="20"/>
          <w:lang w:val="en-GB"/>
        </w:rPr>
        <w:t>Company</w:t>
      </w:r>
      <w:r w:rsidRPr="00606CF6">
        <w:rPr>
          <w:rFonts w:ascii="Arial" w:hAnsi="Arial" w:cs="Arial"/>
          <w:i/>
          <w:iCs/>
          <w:sz w:val="20"/>
          <w:szCs w:val="20"/>
          <w:lang w:val="en-GB"/>
        </w:rPr>
        <w:t>“.</w:t>
      </w:r>
    </w:p>
    <w:p w14:paraId="7384C217" w14:textId="77777777" w:rsidR="009A479B" w:rsidRPr="004D171C" w:rsidRDefault="009A479B" w:rsidP="009A479B">
      <w:pPr>
        <w:pStyle w:val="BodyText"/>
        <w:spacing w:line="288" w:lineRule="auto"/>
        <w:rPr>
          <w:rFonts w:ascii="Arial" w:hAnsi="Arial" w:cs="Arial"/>
          <w:sz w:val="20"/>
          <w:szCs w:val="20"/>
        </w:rPr>
      </w:pPr>
    </w:p>
    <w:tbl>
      <w:tblPr>
        <w:tblW w:w="1007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71"/>
        <w:gridCol w:w="3024"/>
        <w:gridCol w:w="4050"/>
        <w:gridCol w:w="1227"/>
        <w:gridCol w:w="1205"/>
      </w:tblGrid>
      <w:tr w:rsidR="009A479B" w:rsidRPr="004D171C" w14:paraId="571DF64B" w14:textId="77777777" w:rsidTr="00606CF6">
        <w:trPr>
          <w:trHeight w:val="891"/>
          <w:jc w:val="center"/>
        </w:trPr>
        <w:tc>
          <w:tcPr>
            <w:tcW w:w="571" w:type="dxa"/>
            <w:tcBorders>
              <w:top w:val="single" w:sz="4" w:space="0" w:color="auto"/>
            </w:tcBorders>
          </w:tcPr>
          <w:p w14:paraId="4716EA3C" w14:textId="77777777" w:rsidR="009A479B" w:rsidRPr="004D171C" w:rsidRDefault="009A479B" w:rsidP="00D44B47">
            <w:pPr>
              <w:jc w:val="center"/>
              <w:rPr>
                <w:rFonts w:ascii="Arial" w:hAnsi="Arial" w:cs="Arial"/>
                <w:b/>
                <w:sz w:val="20"/>
                <w:szCs w:val="20"/>
              </w:rPr>
            </w:pPr>
            <w:r w:rsidRPr="004D171C">
              <w:rPr>
                <w:rFonts w:ascii="Arial" w:hAnsi="Arial" w:cs="Arial"/>
                <w:b/>
                <w:sz w:val="20"/>
                <w:szCs w:val="20"/>
              </w:rPr>
              <w:t>Eil. Nr.</w:t>
            </w:r>
          </w:p>
        </w:tc>
        <w:tc>
          <w:tcPr>
            <w:tcW w:w="3024" w:type="dxa"/>
            <w:tcBorders>
              <w:top w:val="single" w:sz="4" w:space="0" w:color="auto"/>
            </w:tcBorders>
            <w:vAlign w:val="center"/>
          </w:tcPr>
          <w:p w14:paraId="5524DFA1" w14:textId="77777777" w:rsidR="009A479B" w:rsidRPr="004D171C" w:rsidRDefault="009A479B" w:rsidP="00D44B47">
            <w:pPr>
              <w:jc w:val="center"/>
              <w:rPr>
                <w:rFonts w:ascii="Arial" w:hAnsi="Arial" w:cs="Arial"/>
                <w:b/>
                <w:sz w:val="20"/>
                <w:szCs w:val="20"/>
              </w:rPr>
            </w:pPr>
            <w:r w:rsidRPr="004D171C">
              <w:rPr>
                <w:rFonts w:ascii="Arial" w:hAnsi="Arial" w:cs="Arial"/>
                <w:b/>
                <w:sz w:val="20"/>
                <w:szCs w:val="20"/>
              </w:rPr>
              <w:t>Darbotvarkės</w:t>
            </w:r>
          </w:p>
          <w:p w14:paraId="02A4098B" w14:textId="77777777" w:rsidR="009A479B" w:rsidRPr="004D171C" w:rsidRDefault="009A479B" w:rsidP="00D44B47">
            <w:pPr>
              <w:jc w:val="center"/>
              <w:rPr>
                <w:rFonts w:ascii="Arial" w:hAnsi="Arial" w:cs="Arial"/>
                <w:b/>
                <w:sz w:val="20"/>
                <w:szCs w:val="20"/>
              </w:rPr>
            </w:pPr>
            <w:r w:rsidRPr="004D171C">
              <w:rPr>
                <w:rFonts w:ascii="Arial" w:hAnsi="Arial" w:cs="Arial"/>
                <w:b/>
                <w:sz w:val="20"/>
                <w:szCs w:val="20"/>
              </w:rPr>
              <w:t>klausimas/</w:t>
            </w:r>
            <w:r w:rsidRPr="004D171C">
              <w:rPr>
                <w:rFonts w:ascii="Arial" w:hAnsi="Arial" w:cs="Arial"/>
                <w:i/>
                <w:iCs/>
                <w:color w:val="000000"/>
                <w:sz w:val="20"/>
                <w:szCs w:val="20"/>
                <w:lang w:eastAsia="lt-LT"/>
              </w:rPr>
              <w:t xml:space="preserve"> </w:t>
            </w:r>
            <w:r w:rsidRPr="004D171C">
              <w:rPr>
                <w:rFonts w:ascii="Arial" w:hAnsi="Arial" w:cs="Arial"/>
                <w:b/>
                <w:iCs/>
                <w:sz w:val="20"/>
                <w:szCs w:val="20"/>
              </w:rPr>
              <w:t>Agenda items</w:t>
            </w:r>
          </w:p>
        </w:tc>
        <w:tc>
          <w:tcPr>
            <w:tcW w:w="4050" w:type="dxa"/>
            <w:tcBorders>
              <w:top w:val="single" w:sz="4" w:space="0" w:color="auto"/>
            </w:tcBorders>
            <w:vAlign w:val="center"/>
          </w:tcPr>
          <w:p w14:paraId="6A0EDC1B" w14:textId="77777777" w:rsidR="009A479B" w:rsidRPr="004D171C" w:rsidRDefault="009A479B" w:rsidP="00D44B47">
            <w:pPr>
              <w:jc w:val="center"/>
              <w:rPr>
                <w:rFonts w:ascii="Arial" w:hAnsi="Arial" w:cs="Arial"/>
                <w:b/>
                <w:sz w:val="20"/>
                <w:szCs w:val="20"/>
              </w:rPr>
            </w:pPr>
            <w:r w:rsidRPr="004D171C">
              <w:rPr>
                <w:rFonts w:ascii="Arial" w:hAnsi="Arial" w:cs="Arial"/>
                <w:b/>
                <w:sz w:val="20"/>
                <w:szCs w:val="20"/>
              </w:rPr>
              <w:t>Siūlomas sprendimo projektas/</w:t>
            </w:r>
            <w:r w:rsidRPr="004D171C">
              <w:rPr>
                <w:rFonts w:ascii="Arial" w:hAnsi="Arial" w:cs="Arial"/>
                <w:color w:val="000000"/>
                <w:sz w:val="20"/>
                <w:szCs w:val="20"/>
                <w:lang w:eastAsia="lt-LT"/>
              </w:rPr>
              <w:t xml:space="preserve"> </w:t>
            </w:r>
            <w:r w:rsidRPr="004D171C">
              <w:rPr>
                <w:rFonts w:ascii="Arial" w:hAnsi="Arial" w:cs="Arial"/>
                <w:b/>
                <w:sz w:val="20"/>
                <w:szCs w:val="20"/>
              </w:rPr>
              <w:t>Draft decision</w:t>
            </w:r>
            <w:r w:rsidRPr="004D171C">
              <w:rPr>
                <w:rFonts w:ascii="Arial" w:hAnsi="Arial" w:cs="Arial"/>
                <w:b/>
                <w:bCs/>
                <w:sz w:val="20"/>
                <w:szCs w:val="20"/>
              </w:rPr>
              <w:t>:</w:t>
            </w:r>
          </w:p>
        </w:tc>
        <w:tc>
          <w:tcPr>
            <w:tcW w:w="2432" w:type="dxa"/>
            <w:gridSpan w:val="2"/>
            <w:tcBorders>
              <w:top w:val="single" w:sz="4" w:space="0" w:color="auto"/>
            </w:tcBorders>
            <w:vAlign w:val="center"/>
          </w:tcPr>
          <w:p w14:paraId="571EE402" w14:textId="1A674865" w:rsidR="009A479B" w:rsidRPr="004D171C" w:rsidRDefault="00606CF6" w:rsidP="00606CF6">
            <w:pPr>
              <w:spacing w:before="120"/>
              <w:rPr>
                <w:rFonts w:ascii="Arial" w:hAnsi="Arial" w:cs="Arial"/>
                <w:b/>
                <w:sz w:val="20"/>
                <w:szCs w:val="20"/>
              </w:rPr>
            </w:pPr>
            <w:r>
              <w:rPr>
                <w:rFonts w:ascii="Arial" w:hAnsi="Arial" w:cs="Arial"/>
                <w:b/>
                <w:sz w:val="20"/>
                <w:szCs w:val="20"/>
              </w:rPr>
              <w:t>Obligacijų savininko</w:t>
            </w:r>
            <w:r w:rsidR="009A479B" w:rsidRPr="004D171C">
              <w:rPr>
                <w:rFonts w:ascii="Arial" w:hAnsi="Arial" w:cs="Arial"/>
                <w:b/>
                <w:sz w:val="20"/>
                <w:szCs w:val="20"/>
              </w:rPr>
              <w:t xml:space="preserve"> valios išreiškimas/</w:t>
            </w:r>
            <w:r w:rsidR="009A479B" w:rsidRPr="004D171C">
              <w:rPr>
                <w:rFonts w:ascii="Arial" w:hAnsi="Arial" w:cs="Arial"/>
                <w:sz w:val="20"/>
                <w:szCs w:val="20"/>
              </w:rPr>
              <w:t xml:space="preserve"> </w:t>
            </w:r>
            <w:r>
              <w:rPr>
                <w:rFonts w:ascii="Arial" w:hAnsi="Arial" w:cs="Arial"/>
                <w:b/>
                <w:sz w:val="20"/>
                <w:szCs w:val="20"/>
                <w:lang w:val="en-GB"/>
              </w:rPr>
              <w:t>Bond</w:t>
            </w:r>
            <w:r w:rsidR="009A479B" w:rsidRPr="004D171C">
              <w:rPr>
                <w:rFonts w:ascii="Arial" w:hAnsi="Arial" w:cs="Arial"/>
                <w:b/>
                <w:sz w:val="20"/>
                <w:szCs w:val="20"/>
                <w:lang w:val="en-GB"/>
              </w:rPr>
              <w:t>holder's declaration of intention</w:t>
            </w:r>
          </w:p>
        </w:tc>
      </w:tr>
      <w:tr w:rsidR="009A479B" w:rsidRPr="004D171C" w14:paraId="4CDC88A1" w14:textId="77777777" w:rsidTr="00606CF6">
        <w:trPr>
          <w:trHeight w:val="255"/>
          <w:jc w:val="center"/>
        </w:trPr>
        <w:tc>
          <w:tcPr>
            <w:tcW w:w="571" w:type="dxa"/>
          </w:tcPr>
          <w:p w14:paraId="4D113854" w14:textId="77777777" w:rsidR="00606CF6" w:rsidRDefault="00606CF6" w:rsidP="00D44B47">
            <w:pPr>
              <w:jc w:val="center"/>
              <w:rPr>
                <w:rFonts w:ascii="Arial" w:hAnsi="Arial" w:cs="Arial"/>
                <w:sz w:val="20"/>
                <w:szCs w:val="20"/>
              </w:rPr>
            </w:pPr>
          </w:p>
          <w:p w14:paraId="337E85B8" w14:textId="04FBDB1A" w:rsidR="009A479B" w:rsidRPr="004D171C" w:rsidRDefault="009A479B" w:rsidP="00D44B47">
            <w:pPr>
              <w:jc w:val="center"/>
              <w:rPr>
                <w:rFonts w:ascii="Arial" w:hAnsi="Arial" w:cs="Arial"/>
                <w:sz w:val="20"/>
                <w:szCs w:val="20"/>
              </w:rPr>
            </w:pPr>
            <w:r w:rsidRPr="004D171C">
              <w:rPr>
                <w:rFonts w:ascii="Arial" w:hAnsi="Arial" w:cs="Arial"/>
                <w:sz w:val="20"/>
                <w:szCs w:val="20"/>
              </w:rPr>
              <w:t xml:space="preserve">1. </w:t>
            </w:r>
          </w:p>
        </w:tc>
        <w:tc>
          <w:tcPr>
            <w:tcW w:w="3024" w:type="dxa"/>
            <w:vAlign w:val="center"/>
          </w:tcPr>
          <w:p w14:paraId="28AADE16" w14:textId="161D8D3A" w:rsidR="00606CF6" w:rsidRDefault="00606CF6" w:rsidP="00DF1189">
            <w:pPr>
              <w:shd w:val="clear" w:color="auto" w:fill="FFFFFF"/>
              <w:tabs>
                <w:tab w:val="left" w:pos="0"/>
              </w:tabs>
              <w:jc w:val="both"/>
              <w:rPr>
                <w:rFonts w:ascii="Arial" w:hAnsi="Arial" w:cs="Arial"/>
                <w:color w:val="000000"/>
                <w:sz w:val="20"/>
                <w:szCs w:val="20"/>
              </w:rPr>
            </w:pPr>
            <w:r w:rsidRPr="00606CF6">
              <w:rPr>
                <w:rFonts w:ascii="Arial" w:hAnsi="Arial" w:cs="Arial"/>
                <w:color w:val="000000"/>
                <w:sz w:val="20"/>
                <w:szCs w:val="20"/>
              </w:rPr>
              <w:t xml:space="preserve">Dėl Bendrovės Palūkanų padengimo koeficiento </w:t>
            </w:r>
            <w:r w:rsidR="003B4220">
              <w:rPr>
                <w:rFonts w:ascii="Arial" w:hAnsi="Arial" w:cs="Arial"/>
                <w:color w:val="000000"/>
                <w:sz w:val="20"/>
                <w:szCs w:val="20"/>
              </w:rPr>
              <w:t>neatitikimo</w:t>
            </w:r>
            <w:r w:rsidR="003B4220" w:rsidRPr="00606CF6">
              <w:rPr>
                <w:rFonts w:ascii="Arial" w:hAnsi="Arial" w:cs="Arial"/>
                <w:color w:val="000000"/>
                <w:sz w:val="20"/>
                <w:szCs w:val="20"/>
              </w:rPr>
              <w:t xml:space="preserve"> </w:t>
            </w:r>
            <w:r w:rsidRPr="00606CF6">
              <w:rPr>
                <w:rFonts w:ascii="Arial" w:hAnsi="Arial" w:cs="Arial"/>
                <w:color w:val="000000"/>
                <w:sz w:val="20"/>
                <w:szCs w:val="20"/>
              </w:rPr>
              <w:t>ištaisymo pagal Bendrovės Konsoliduotosios tarpinės finansinės ataskaitos už 6 mėn. laikotarpį, pasibaigusį 2022 m. birželio 30 d., duomenis.</w:t>
            </w:r>
          </w:p>
          <w:p w14:paraId="06BFAA83" w14:textId="01FD1F29" w:rsidR="00B91130" w:rsidRDefault="00B91130" w:rsidP="00DF1189">
            <w:pPr>
              <w:shd w:val="clear" w:color="auto" w:fill="FFFFFF"/>
              <w:tabs>
                <w:tab w:val="left" w:pos="0"/>
              </w:tabs>
              <w:jc w:val="both"/>
              <w:rPr>
                <w:rFonts w:ascii="Arial" w:hAnsi="Arial" w:cs="Arial"/>
                <w:color w:val="000000"/>
                <w:sz w:val="20"/>
                <w:szCs w:val="20"/>
              </w:rPr>
            </w:pPr>
          </w:p>
          <w:p w14:paraId="66A12AE1" w14:textId="4FF6E26A" w:rsidR="00B91130" w:rsidRPr="00B91130" w:rsidRDefault="00B91130" w:rsidP="00DF1189">
            <w:pPr>
              <w:shd w:val="clear" w:color="auto" w:fill="FFFFFF"/>
              <w:tabs>
                <w:tab w:val="left" w:pos="0"/>
              </w:tabs>
              <w:jc w:val="both"/>
              <w:rPr>
                <w:rFonts w:ascii="Arial" w:hAnsi="Arial" w:cs="Arial"/>
                <w:color w:val="000000"/>
                <w:sz w:val="20"/>
                <w:szCs w:val="20"/>
                <w:lang w:val="en-GB"/>
              </w:rPr>
            </w:pPr>
            <w:r w:rsidRPr="00B91130">
              <w:rPr>
                <w:rFonts w:ascii="Arial" w:hAnsi="Arial" w:cs="Arial"/>
                <w:color w:val="000000"/>
                <w:sz w:val="20"/>
                <w:szCs w:val="20"/>
                <w:lang w:val="en-GB"/>
              </w:rPr>
              <w:t>Regarding the correction of the non-compliance of the Company's Interest Coverage Ratio according to the data of the Company's Consolidated Interim Financial Statement for the 6-month period ending on June 30, 2022.</w:t>
            </w:r>
          </w:p>
          <w:p w14:paraId="0B098CE1" w14:textId="0DDFEFD3" w:rsidR="009A479B" w:rsidRPr="004D171C" w:rsidRDefault="009A479B" w:rsidP="00D44B47">
            <w:pPr>
              <w:rPr>
                <w:rFonts w:ascii="Arial" w:hAnsi="Arial" w:cs="Arial"/>
                <w:bCs/>
                <w:sz w:val="20"/>
                <w:szCs w:val="20"/>
              </w:rPr>
            </w:pPr>
          </w:p>
        </w:tc>
        <w:tc>
          <w:tcPr>
            <w:tcW w:w="4050" w:type="dxa"/>
            <w:vAlign w:val="center"/>
          </w:tcPr>
          <w:p w14:paraId="195F1ECD" w14:textId="77777777" w:rsidR="00606CF6" w:rsidRDefault="00606CF6" w:rsidP="00606CF6">
            <w:pPr>
              <w:pStyle w:val="ListParagraph"/>
              <w:shd w:val="clear" w:color="auto" w:fill="FFFFFF"/>
              <w:spacing w:before="100" w:beforeAutospacing="1" w:after="100" w:afterAutospacing="1"/>
              <w:ind w:left="436" w:hanging="436"/>
              <w:jc w:val="both"/>
              <w:rPr>
                <w:rFonts w:ascii="Arial" w:hAnsi="Arial" w:cs="Arial"/>
                <w:b/>
                <w:bCs/>
                <w:color w:val="000000"/>
                <w:sz w:val="20"/>
                <w:szCs w:val="20"/>
              </w:rPr>
            </w:pPr>
          </w:p>
          <w:p w14:paraId="05598882" w14:textId="6EB7B9C8" w:rsidR="00606CF6" w:rsidRPr="00606CF6" w:rsidRDefault="00606CF6" w:rsidP="00606CF6">
            <w:pPr>
              <w:pStyle w:val="ListParagraph"/>
              <w:shd w:val="clear" w:color="auto" w:fill="FFFFFF"/>
              <w:spacing w:before="100" w:beforeAutospacing="1" w:after="100" w:afterAutospacing="1"/>
              <w:ind w:left="436" w:hanging="436"/>
              <w:jc w:val="both"/>
              <w:rPr>
                <w:rFonts w:ascii="Arial" w:hAnsi="Arial" w:cs="Arial"/>
                <w:b/>
                <w:bCs/>
                <w:color w:val="000000"/>
                <w:sz w:val="20"/>
                <w:szCs w:val="20"/>
              </w:rPr>
            </w:pPr>
            <w:r>
              <w:rPr>
                <w:rFonts w:ascii="Arial" w:hAnsi="Arial" w:cs="Arial"/>
                <w:b/>
                <w:bCs/>
                <w:color w:val="000000"/>
                <w:sz w:val="20"/>
                <w:szCs w:val="20"/>
              </w:rPr>
              <w:t xml:space="preserve">Atsižvelgiant į tai, kad: </w:t>
            </w:r>
          </w:p>
          <w:p w14:paraId="0A8F227B" w14:textId="341ADB3D" w:rsidR="009A479B" w:rsidRPr="00606CF6" w:rsidRDefault="009A479B" w:rsidP="00606CF6">
            <w:pPr>
              <w:pStyle w:val="ListParagraph"/>
              <w:numPr>
                <w:ilvl w:val="1"/>
                <w:numId w:val="4"/>
              </w:numPr>
              <w:shd w:val="clear" w:color="auto" w:fill="FFFFFF"/>
              <w:spacing w:before="100" w:beforeAutospacing="1" w:after="100" w:afterAutospacing="1"/>
              <w:ind w:left="436" w:hanging="270"/>
              <w:jc w:val="both"/>
              <w:rPr>
                <w:rFonts w:ascii="Arial" w:hAnsi="Arial" w:cs="Arial"/>
                <w:b/>
                <w:bCs/>
                <w:color w:val="000000"/>
                <w:sz w:val="20"/>
                <w:szCs w:val="20"/>
              </w:rPr>
            </w:pPr>
            <w:r w:rsidRPr="00606CF6">
              <w:rPr>
                <w:rFonts w:ascii="Arial" w:hAnsi="Arial" w:cs="Arial"/>
                <w:sz w:val="20"/>
                <w:szCs w:val="20"/>
                <w:lang w:eastAsia="lt-LT"/>
              </w:rPr>
              <w:t>2019 m. lapkričio 25 d. Lietuvos banko patvirtintame obligacijų baziniame prospekte (toliau – </w:t>
            </w:r>
            <w:r w:rsidRPr="00606CF6">
              <w:rPr>
                <w:rFonts w:ascii="Arial" w:hAnsi="Arial" w:cs="Arial"/>
                <w:b/>
                <w:bCs/>
                <w:sz w:val="20"/>
                <w:szCs w:val="20"/>
                <w:lang w:eastAsia="lt-LT"/>
              </w:rPr>
              <w:t>Prospektas</w:t>
            </w:r>
            <w:r w:rsidRPr="00606CF6">
              <w:rPr>
                <w:rFonts w:ascii="Arial" w:hAnsi="Arial" w:cs="Arial"/>
                <w:sz w:val="20"/>
                <w:szCs w:val="20"/>
                <w:lang w:eastAsia="lt-LT"/>
              </w:rPr>
              <w:t xml:space="preserve">) ir 1 dalies obligacijų galutinėse sąlygose (toliau – </w:t>
            </w:r>
            <w:r w:rsidRPr="00606CF6">
              <w:rPr>
                <w:rFonts w:ascii="Arial" w:hAnsi="Arial" w:cs="Arial"/>
                <w:b/>
                <w:bCs/>
                <w:sz w:val="20"/>
                <w:szCs w:val="20"/>
                <w:lang w:eastAsia="lt-LT"/>
              </w:rPr>
              <w:t>Galutinės sąlygos</w:t>
            </w:r>
            <w:r w:rsidRPr="00606CF6">
              <w:rPr>
                <w:rFonts w:ascii="Arial" w:hAnsi="Arial" w:cs="Arial"/>
                <w:sz w:val="20"/>
                <w:szCs w:val="20"/>
                <w:lang w:eastAsia="lt-LT"/>
              </w:rPr>
              <w:t xml:space="preserve">), be kita ko, numatytos tam tikros finansinės sąlygos (angl. </w:t>
            </w:r>
            <w:r w:rsidRPr="00606CF6">
              <w:rPr>
                <w:rFonts w:ascii="Arial" w:hAnsi="Arial" w:cs="Arial"/>
                <w:i/>
                <w:iCs/>
                <w:sz w:val="20"/>
                <w:szCs w:val="20"/>
                <w:lang w:eastAsia="lt-LT"/>
              </w:rPr>
              <w:t>financial covenants</w:t>
            </w:r>
            <w:r w:rsidRPr="00606CF6">
              <w:rPr>
                <w:rFonts w:ascii="Arial" w:hAnsi="Arial" w:cs="Arial"/>
                <w:sz w:val="20"/>
                <w:szCs w:val="20"/>
                <w:lang w:eastAsia="lt-LT"/>
              </w:rPr>
              <w:t>), kurių Bendrovė įsipareigojo laikytis išleistų Obligacijų galiojimo laikotarpiu;</w:t>
            </w:r>
          </w:p>
          <w:p w14:paraId="302A87ED" w14:textId="1AC97C80" w:rsidR="009A479B" w:rsidRPr="00606CF6" w:rsidRDefault="009A479B" w:rsidP="00606CF6">
            <w:pPr>
              <w:pStyle w:val="ListParagraph"/>
              <w:numPr>
                <w:ilvl w:val="1"/>
                <w:numId w:val="4"/>
              </w:numPr>
              <w:shd w:val="clear" w:color="auto" w:fill="FFFFFF"/>
              <w:spacing w:before="100" w:beforeAutospacing="1" w:after="100" w:afterAutospacing="1"/>
              <w:ind w:left="436" w:hanging="270"/>
              <w:jc w:val="both"/>
              <w:rPr>
                <w:rFonts w:ascii="Arial" w:hAnsi="Arial" w:cs="Arial"/>
                <w:b/>
                <w:bCs/>
                <w:color w:val="000000"/>
                <w:sz w:val="20"/>
                <w:szCs w:val="20"/>
              </w:rPr>
            </w:pPr>
            <w:r w:rsidRPr="00606CF6">
              <w:rPr>
                <w:rFonts w:ascii="Arial" w:hAnsi="Arial" w:cs="Arial"/>
                <w:sz w:val="20"/>
                <w:szCs w:val="20"/>
                <w:lang w:eastAsia="lt-LT"/>
              </w:rPr>
              <w:t>Pagal Prospektą numatytas 6 (šešių) mėnesių finansinių sąlygų ištaisymo laikotarpis (angl. r</w:t>
            </w:r>
            <w:r w:rsidRPr="00606CF6">
              <w:rPr>
                <w:rFonts w:ascii="Arial" w:hAnsi="Arial" w:cs="Arial"/>
                <w:i/>
                <w:iCs/>
                <w:sz w:val="20"/>
                <w:szCs w:val="20"/>
                <w:lang w:eastAsia="lt-LT"/>
              </w:rPr>
              <w:t>emediation</w:t>
            </w:r>
            <w:r w:rsidRPr="00606CF6">
              <w:rPr>
                <w:rFonts w:ascii="Arial" w:hAnsi="Arial" w:cs="Arial"/>
                <w:sz w:val="20"/>
                <w:szCs w:val="20"/>
                <w:lang w:eastAsia="lt-LT"/>
              </w:rPr>
              <w:t xml:space="preserve">), jei bet kurios iš jų Bendrovė nesilaiko, taip pat įtvirtinant, kad ištaisius finansinę sąlygą per nurodytą laikotarpį, tai nėra Obligacijų įsipareigojimų nevykdymo įvykis (angl. </w:t>
            </w:r>
            <w:r w:rsidRPr="00606CF6">
              <w:rPr>
                <w:rFonts w:ascii="Arial" w:hAnsi="Arial" w:cs="Arial"/>
                <w:i/>
                <w:iCs/>
                <w:sz w:val="20"/>
                <w:szCs w:val="20"/>
                <w:lang w:eastAsia="lt-LT"/>
              </w:rPr>
              <w:t>event of default</w:t>
            </w:r>
            <w:r w:rsidRPr="00606CF6">
              <w:rPr>
                <w:rFonts w:ascii="Arial" w:hAnsi="Arial" w:cs="Arial"/>
                <w:sz w:val="20"/>
                <w:szCs w:val="20"/>
                <w:lang w:eastAsia="lt-LT"/>
              </w:rPr>
              <w:t>);</w:t>
            </w:r>
          </w:p>
          <w:p w14:paraId="6AAD4E43" w14:textId="3B070421" w:rsidR="009A479B" w:rsidRPr="00606CF6" w:rsidRDefault="009A479B" w:rsidP="00606CF6">
            <w:pPr>
              <w:pStyle w:val="ListParagraph"/>
              <w:numPr>
                <w:ilvl w:val="1"/>
                <w:numId w:val="4"/>
              </w:numPr>
              <w:shd w:val="clear" w:color="auto" w:fill="FFFFFF"/>
              <w:spacing w:before="100" w:beforeAutospacing="1" w:after="100" w:afterAutospacing="1"/>
              <w:ind w:left="436" w:hanging="270"/>
              <w:jc w:val="both"/>
              <w:rPr>
                <w:rFonts w:ascii="Arial" w:hAnsi="Arial" w:cs="Arial"/>
                <w:b/>
                <w:bCs/>
                <w:color w:val="000000"/>
                <w:sz w:val="20"/>
                <w:szCs w:val="20"/>
              </w:rPr>
            </w:pPr>
            <w:r w:rsidRPr="00606CF6">
              <w:rPr>
                <w:rFonts w:ascii="Arial" w:hAnsi="Arial" w:cs="Arial"/>
                <w:sz w:val="20"/>
                <w:szCs w:val="20"/>
                <w:lang w:eastAsia="lt-LT"/>
              </w:rPr>
              <w:t>Užbaigus 2021 m. Bendrovės metinių finansinių ataskaitų (toliau – </w:t>
            </w:r>
            <w:r w:rsidRPr="00606CF6">
              <w:rPr>
                <w:rFonts w:ascii="Arial" w:hAnsi="Arial" w:cs="Arial"/>
                <w:b/>
                <w:bCs/>
                <w:sz w:val="20"/>
                <w:szCs w:val="20"/>
                <w:lang w:eastAsia="lt-LT"/>
              </w:rPr>
              <w:t>Finansinės ataskaitos</w:t>
            </w:r>
            <w:r w:rsidRPr="00606CF6">
              <w:rPr>
                <w:rFonts w:ascii="Arial" w:hAnsi="Arial" w:cs="Arial"/>
                <w:sz w:val="20"/>
                <w:szCs w:val="20"/>
                <w:lang w:eastAsia="lt-LT"/>
              </w:rPr>
              <w:t xml:space="preserve">) auditą ir 2022 m. balandžio 19 d. Bendrovei paskelbus Finansines ataskaitas viešai, paaiškėjo, kad ji nevykdo vieno iš Prospekte ir Galutinėse sąlygose numatytų finansinių sąlygų: Palūkanų padengimo koeficientas, kuris turi būti 2, pagal Finansines ataskaitas buvo 1,61 (toliau – </w:t>
            </w:r>
            <w:r w:rsidRPr="00606CF6">
              <w:rPr>
                <w:rFonts w:ascii="Arial" w:hAnsi="Arial" w:cs="Arial"/>
                <w:b/>
                <w:bCs/>
                <w:sz w:val="20"/>
                <w:szCs w:val="20"/>
                <w:lang w:eastAsia="lt-LT"/>
              </w:rPr>
              <w:t>Finansinė sąlyga</w:t>
            </w:r>
            <w:r w:rsidRPr="00606CF6">
              <w:rPr>
                <w:rFonts w:ascii="Arial" w:hAnsi="Arial" w:cs="Arial"/>
                <w:sz w:val="20"/>
                <w:szCs w:val="20"/>
                <w:lang w:eastAsia="lt-LT"/>
              </w:rPr>
              <w:t>);</w:t>
            </w:r>
          </w:p>
          <w:p w14:paraId="15A03EE7" w14:textId="48AA481A" w:rsidR="009A479B" w:rsidRPr="00606CF6" w:rsidRDefault="009A479B" w:rsidP="00606CF6">
            <w:pPr>
              <w:pStyle w:val="ListParagraph"/>
              <w:numPr>
                <w:ilvl w:val="1"/>
                <w:numId w:val="4"/>
              </w:numPr>
              <w:shd w:val="clear" w:color="auto" w:fill="FFFFFF"/>
              <w:spacing w:before="100" w:beforeAutospacing="1" w:after="100" w:afterAutospacing="1"/>
              <w:ind w:left="436" w:hanging="270"/>
              <w:jc w:val="both"/>
              <w:rPr>
                <w:rFonts w:ascii="Arial" w:hAnsi="Arial" w:cs="Arial"/>
                <w:b/>
                <w:bCs/>
                <w:color w:val="000000"/>
                <w:sz w:val="20"/>
                <w:szCs w:val="20"/>
              </w:rPr>
            </w:pPr>
            <w:r w:rsidRPr="00606CF6">
              <w:rPr>
                <w:rFonts w:ascii="Arial" w:hAnsi="Arial" w:cs="Arial"/>
                <w:sz w:val="20"/>
                <w:szCs w:val="20"/>
                <w:lang w:eastAsia="lt-LT"/>
              </w:rPr>
              <w:lastRenderedPageBreak/>
              <w:t xml:space="preserve">Finansinės sąlygos </w:t>
            </w:r>
            <w:r w:rsidR="003B4220">
              <w:rPr>
                <w:rFonts w:ascii="Arial" w:hAnsi="Arial" w:cs="Arial"/>
                <w:sz w:val="20"/>
                <w:szCs w:val="20"/>
                <w:lang w:eastAsia="lt-LT"/>
              </w:rPr>
              <w:t>neatitikimas</w:t>
            </w:r>
            <w:r w:rsidR="003B4220" w:rsidRPr="00606CF6">
              <w:rPr>
                <w:rFonts w:ascii="Arial" w:hAnsi="Arial" w:cs="Arial"/>
                <w:sz w:val="20"/>
                <w:szCs w:val="20"/>
                <w:lang w:eastAsia="lt-LT"/>
              </w:rPr>
              <w:t xml:space="preserve"> </w:t>
            </w:r>
            <w:r w:rsidRPr="00606CF6">
              <w:rPr>
                <w:rFonts w:ascii="Arial" w:hAnsi="Arial" w:cs="Arial"/>
                <w:sz w:val="20"/>
                <w:szCs w:val="20"/>
                <w:lang w:eastAsia="lt-LT"/>
              </w:rPr>
              <w:t xml:space="preserve">pagal Prospektą ir Galutines sąlygas nėra Obligacijų įsipareigojimų nevykdymo įvykis (angl. </w:t>
            </w:r>
            <w:r w:rsidRPr="00606CF6">
              <w:rPr>
                <w:rFonts w:ascii="Arial" w:hAnsi="Arial" w:cs="Arial"/>
                <w:i/>
                <w:iCs/>
                <w:sz w:val="20"/>
                <w:szCs w:val="20"/>
                <w:lang w:eastAsia="lt-LT"/>
              </w:rPr>
              <w:t>event of default</w:t>
            </w:r>
            <w:r w:rsidRPr="00606CF6">
              <w:rPr>
                <w:rFonts w:ascii="Arial" w:hAnsi="Arial" w:cs="Arial"/>
                <w:sz w:val="20"/>
                <w:szCs w:val="20"/>
                <w:lang w:eastAsia="lt-LT"/>
              </w:rPr>
              <w:t xml:space="preserve">) – tai įsipareigojimų nevykdymo įvykiu taptų tik tuo atveju, jei per aukščiau nurodytą 6 (šešių) mėnesių ištaisymo laikotarpį Finansinės sąlygos </w:t>
            </w:r>
            <w:r w:rsidR="003B4220">
              <w:rPr>
                <w:rFonts w:ascii="Arial" w:hAnsi="Arial" w:cs="Arial"/>
                <w:sz w:val="20"/>
                <w:szCs w:val="20"/>
                <w:lang w:eastAsia="lt-LT"/>
              </w:rPr>
              <w:t xml:space="preserve">neatitikimas </w:t>
            </w:r>
            <w:r w:rsidRPr="00606CF6">
              <w:rPr>
                <w:rFonts w:ascii="Arial" w:hAnsi="Arial" w:cs="Arial"/>
                <w:sz w:val="20"/>
                <w:szCs w:val="20"/>
                <w:lang w:eastAsia="lt-LT"/>
              </w:rPr>
              <w:t>Bendrovės nebūtų ištaisytas;</w:t>
            </w:r>
          </w:p>
          <w:p w14:paraId="63F541C3" w14:textId="77777777" w:rsidR="00606CF6" w:rsidRPr="00606CF6" w:rsidRDefault="009A479B" w:rsidP="00606CF6">
            <w:pPr>
              <w:pStyle w:val="ListParagraph"/>
              <w:numPr>
                <w:ilvl w:val="1"/>
                <w:numId w:val="4"/>
              </w:numPr>
              <w:shd w:val="clear" w:color="auto" w:fill="FFFFFF"/>
              <w:spacing w:before="100" w:beforeAutospacing="1" w:after="100" w:afterAutospacing="1"/>
              <w:ind w:left="436" w:hanging="270"/>
              <w:jc w:val="both"/>
              <w:rPr>
                <w:rFonts w:ascii="Arial" w:hAnsi="Arial" w:cs="Arial"/>
                <w:b/>
                <w:bCs/>
                <w:color w:val="000000"/>
                <w:sz w:val="20"/>
                <w:szCs w:val="20"/>
              </w:rPr>
            </w:pPr>
            <w:r w:rsidRPr="00606CF6">
              <w:rPr>
                <w:rFonts w:ascii="Arial" w:hAnsi="Arial" w:cs="Arial"/>
                <w:sz w:val="20"/>
                <w:szCs w:val="20"/>
                <w:lang w:eastAsia="lt-LT"/>
              </w:rPr>
              <w:t xml:space="preserve">Bendrovė per nurodytą 6 (šešių) mėnesių ištaisymo laikotarpį ištaisė neatitikimą. Tai patvirtina </w:t>
            </w:r>
            <w:hyperlink r:id="rId6" w:history="1">
              <w:r w:rsidRPr="00606CF6">
                <w:rPr>
                  <w:rStyle w:val="Hyperlink"/>
                  <w:rFonts w:ascii="Arial" w:hAnsi="Arial" w:cs="Arial"/>
                  <w:sz w:val="20"/>
                  <w:szCs w:val="20"/>
                  <w:lang w:eastAsia="lt-LT"/>
                </w:rPr>
                <w:t xml:space="preserve">Bendrovės </w:t>
              </w:r>
              <w:r w:rsidRPr="00606CF6">
                <w:rPr>
                  <w:rStyle w:val="Hyperlink"/>
                  <w:rFonts w:ascii="Arial" w:hAnsi="Arial" w:cs="Arial"/>
                  <w:sz w:val="20"/>
                  <w:szCs w:val="20"/>
                </w:rPr>
                <w:t>Konsoliduotosios tarpinės finansinės ataskaitos už 6 mėn. laikotarpį, pasibaigusį 2022 m. birželio 30 d</w:t>
              </w:r>
            </w:hyperlink>
            <w:r w:rsidRPr="00606CF6">
              <w:rPr>
                <w:rFonts w:ascii="Arial" w:hAnsi="Arial" w:cs="Arial"/>
                <w:sz w:val="20"/>
                <w:szCs w:val="20"/>
              </w:rPr>
              <w:t>.</w:t>
            </w:r>
            <w:r w:rsidRPr="00606CF6">
              <w:rPr>
                <w:rFonts w:ascii="Arial" w:hAnsi="Arial" w:cs="Arial"/>
                <w:sz w:val="20"/>
                <w:szCs w:val="20"/>
                <w:lang w:eastAsia="lt-LT"/>
              </w:rPr>
              <w:t xml:space="preserve"> </w:t>
            </w:r>
            <w:r w:rsidRPr="00606CF6">
              <w:rPr>
                <w:rFonts w:ascii="Arial" w:hAnsi="Arial" w:cs="Arial"/>
                <w:sz w:val="20"/>
                <w:szCs w:val="20"/>
              </w:rPr>
              <w:t>(toliau – </w:t>
            </w:r>
            <w:r w:rsidRPr="00606CF6">
              <w:rPr>
                <w:rFonts w:ascii="Arial" w:hAnsi="Arial" w:cs="Arial"/>
                <w:b/>
                <w:bCs/>
                <w:sz w:val="20"/>
                <w:szCs w:val="20"/>
              </w:rPr>
              <w:t>Pusmetinės ataskaitos</w:t>
            </w:r>
            <w:r w:rsidRPr="00606CF6">
              <w:rPr>
                <w:rFonts w:ascii="Arial" w:hAnsi="Arial" w:cs="Arial"/>
                <w:sz w:val="20"/>
                <w:szCs w:val="20"/>
              </w:rPr>
              <w:t>), pagal kurias Finansinė sąlyga yra 2.1;</w:t>
            </w:r>
          </w:p>
          <w:p w14:paraId="0D3C401B" w14:textId="0CB963C5" w:rsidR="009A479B" w:rsidRPr="00606CF6" w:rsidRDefault="009A479B" w:rsidP="00606CF6">
            <w:pPr>
              <w:pStyle w:val="ListParagraph"/>
              <w:numPr>
                <w:ilvl w:val="1"/>
                <w:numId w:val="4"/>
              </w:numPr>
              <w:shd w:val="clear" w:color="auto" w:fill="FFFFFF"/>
              <w:spacing w:before="100" w:beforeAutospacing="1" w:after="100" w:afterAutospacing="1"/>
              <w:ind w:left="436" w:hanging="270"/>
              <w:jc w:val="both"/>
              <w:rPr>
                <w:rFonts w:ascii="Arial" w:hAnsi="Arial" w:cs="Arial"/>
                <w:b/>
                <w:bCs/>
                <w:color w:val="000000"/>
                <w:sz w:val="20"/>
                <w:szCs w:val="20"/>
              </w:rPr>
            </w:pPr>
            <w:r w:rsidRPr="00606CF6">
              <w:rPr>
                <w:rFonts w:ascii="Arial" w:hAnsi="Arial" w:cs="Arial"/>
                <w:sz w:val="20"/>
                <w:szCs w:val="20"/>
              </w:rPr>
              <w:t xml:space="preserve"> Pagal Prospektą Finansinė sąlyga gali būti nustatoma tik kartą per metus pagal Bendrovės Konsoliduotosios metinės audituotos finansinės ataskaitos duomenis, kuri bus tvirtinama tik 2023 m. balandžio mėnesį, todėl dėl šių objektyvių priežasčių nėra įmanoma pateikti Prospekte nustatyto Finansinės sąlygos</w:t>
            </w:r>
            <w:r w:rsidR="003B4220">
              <w:rPr>
                <w:rFonts w:ascii="Arial" w:hAnsi="Arial" w:cs="Arial"/>
                <w:sz w:val="20"/>
                <w:szCs w:val="20"/>
              </w:rPr>
              <w:t xml:space="preserve"> neatitikimo</w:t>
            </w:r>
            <w:r w:rsidRPr="00606CF6">
              <w:rPr>
                <w:rFonts w:ascii="Arial" w:hAnsi="Arial" w:cs="Arial"/>
                <w:sz w:val="20"/>
                <w:szCs w:val="20"/>
              </w:rPr>
              <w:t xml:space="preserve"> ištaisymo įrodymo, nors Finansinė sąlyga ir yra ištaisyta.</w:t>
            </w:r>
            <w:r w:rsidRPr="00606CF6">
              <w:rPr>
                <w:rFonts w:ascii="Arial" w:hAnsi="Arial" w:cs="Arial"/>
              </w:rPr>
              <w:t xml:space="preserve"> </w:t>
            </w:r>
          </w:p>
          <w:p w14:paraId="60A29313" w14:textId="77777777" w:rsidR="00606CF6" w:rsidRPr="00606CF6" w:rsidRDefault="00606CF6" w:rsidP="00606CF6">
            <w:pPr>
              <w:pStyle w:val="ListParagraph"/>
              <w:shd w:val="clear" w:color="auto" w:fill="FFFFFF"/>
              <w:spacing w:before="100" w:beforeAutospacing="1" w:after="100" w:afterAutospacing="1"/>
              <w:ind w:left="436"/>
              <w:jc w:val="both"/>
              <w:rPr>
                <w:rFonts w:ascii="Arial" w:hAnsi="Arial" w:cs="Arial"/>
                <w:b/>
                <w:bCs/>
                <w:color w:val="000000"/>
                <w:sz w:val="20"/>
                <w:szCs w:val="20"/>
              </w:rPr>
            </w:pPr>
          </w:p>
          <w:p w14:paraId="12D2DC13" w14:textId="374B2524" w:rsidR="00606CF6" w:rsidRDefault="00606CF6" w:rsidP="00606CF6">
            <w:pPr>
              <w:pStyle w:val="ListParagraph"/>
              <w:shd w:val="clear" w:color="auto" w:fill="FFFFFF"/>
              <w:spacing w:before="100" w:beforeAutospacing="1" w:after="100" w:afterAutospacing="1"/>
              <w:ind w:left="166"/>
              <w:jc w:val="both"/>
              <w:rPr>
                <w:rFonts w:ascii="Arial" w:hAnsi="Arial" w:cs="Arial"/>
                <w:sz w:val="20"/>
                <w:szCs w:val="20"/>
              </w:rPr>
            </w:pPr>
            <w:r w:rsidRPr="00606CF6">
              <w:rPr>
                <w:rFonts w:ascii="Arial" w:hAnsi="Arial" w:cs="Arial"/>
                <w:b/>
                <w:bCs/>
                <w:sz w:val="20"/>
                <w:szCs w:val="20"/>
              </w:rPr>
              <w:t>patvirtinti, kad</w:t>
            </w:r>
            <w:r w:rsidRPr="00606CF6">
              <w:rPr>
                <w:rFonts w:ascii="Arial" w:hAnsi="Arial" w:cs="Arial"/>
                <w:sz w:val="20"/>
                <w:szCs w:val="20"/>
              </w:rPr>
              <w:t xml:space="preserve"> remiantis Pusmetinės ataskaitos duomenimis Bendrovė per 6 (šešių) mėnesių ištaisymo laikotarpį tinkamai ir laiku ištaisė nustatytą Finansinės sąlygos </w:t>
            </w:r>
            <w:r w:rsidR="003B4220">
              <w:rPr>
                <w:rFonts w:ascii="Arial" w:hAnsi="Arial" w:cs="Arial"/>
                <w:sz w:val="20"/>
                <w:szCs w:val="20"/>
              </w:rPr>
              <w:t>neatitikimą.</w:t>
            </w:r>
            <w:r w:rsidRPr="00606CF6">
              <w:rPr>
                <w:rFonts w:ascii="Arial" w:hAnsi="Arial" w:cs="Arial"/>
                <w:sz w:val="20"/>
                <w:szCs w:val="20"/>
              </w:rPr>
              <w:t xml:space="preserve"> </w:t>
            </w:r>
          </w:p>
          <w:p w14:paraId="58DC99F6" w14:textId="220B61F0" w:rsidR="00B91130" w:rsidRDefault="00B91130" w:rsidP="00606CF6">
            <w:pPr>
              <w:pStyle w:val="ListParagraph"/>
              <w:shd w:val="clear" w:color="auto" w:fill="FFFFFF"/>
              <w:spacing w:before="100" w:beforeAutospacing="1" w:after="100" w:afterAutospacing="1"/>
              <w:ind w:left="166"/>
              <w:jc w:val="both"/>
              <w:rPr>
                <w:rFonts w:ascii="Arial" w:hAnsi="Arial" w:cs="Arial"/>
                <w:b/>
                <w:bCs/>
                <w:color w:val="000000"/>
                <w:sz w:val="20"/>
                <w:szCs w:val="20"/>
              </w:rPr>
            </w:pPr>
          </w:p>
          <w:p w14:paraId="384577C8" w14:textId="5205D3B8" w:rsidR="00B91130" w:rsidRPr="00AB203B" w:rsidRDefault="00B91130" w:rsidP="00AB203B">
            <w:pPr>
              <w:shd w:val="clear" w:color="auto" w:fill="FFFFFF"/>
              <w:spacing w:before="100" w:beforeAutospacing="1" w:after="100" w:afterAutospacing="1"/>
              <w:rPr>
                <w:rFonts w:ascii="Arial" w:hAnsi="Arial" w:cs="Arial"/>
                <w:b/>
                <w:bCs/>
                <w:color w:val="000000"/>
                <w:sz w:val="20"/>
                <w:szCs w:val="20"/>
                <w:lang w:val="en-GB"/>
              </w:rPr>
            </w:pPr>
            <w:r w:rsidRPr="00AB203B">
              <w:rPr>
                <w:rFonts w:ascii="Arial" w:hAnsi="Arial" w:cs="Arial"/>
                <w:b/>
                <w:bCs/>
                <w:color w:val="000000"/>
                <w:sz w:val="20"/>
                <w:szCs w:val="20"/>
                <w:lang w:val="en-GB"/>
              </w:rPr>
              <w:t>Given that:</w:t>
            </w:r>
          </w:p>
          <w:p w14:paraId="5C10FB70" w14:textId="77777777" w:rsidR="00B91130" w:rsidRPr="00AB203B" w:rsidRDefault="00B91130" w:rsidP="00AB203B">
            <w:pPr>
              <w:pStyle w:val="ListParagraph"/>
              <w:numPr>
                <w:ilvl w:val="1"/>
                <w:numId w:val="6"/>
              </w:numPr>
              <w:shd w:val="clear" w:color="auto" w:fill="FFFFFF"/>
              <w:spacing w:before="100" w:beforeAutospacing="1" w:after="100" w:afterAutospacing="1"/>
              <w:jc w:val="both"/>
              <w:rPr>
                <w:rFonts w:ascii="Arial" w:hAnsi="Arial" w:cs="Arial"/>
                <w:sz w:val="20"/>
                <w:szCs w:val="20"/>
                <w:lang w:val="en-GB" w:eastAsia="lt-LT"/>
              </w:rPr>
            </w:pPr>
            <w:r w:rsidRPr="00AB203B">
              <w:rPr>
                <w:rFonts w:ascii="Arial" w:hAnsi="Arial" w:cs="Arial"/>
                <w:sz w:val="20"/>
                <w:szCs w:val="20"/>
                <w:lang w:val="en-GB" w:eastAsia="lt-LT"/>
              </w:rPr>
              <w:t>In the base prospectus of the bonds approved by the Bank of Lithuania on November 25, 2019 (hereinafter - the Prospectus) and in the final conditions of part 1 of the bonds (hereinafter - the Final Conditions), among other things, certain financial conditions are stipulated, which the Company undertook to comply with during the validity period of the issued Bonds;</w:t>
            </w:r>
          </w:p>
          <w:p w14:paraId="128AD1FB" w14:textId="77777777" w:rsidR="00B91130" w:rsidRPr="00AB203B" w:rsidRDefault="00B91130" w:rsidP="00AB203B">
            <w:pPr>
              <w:pStyle w:val="ListParagraph"/>
              <w:numPr>
                <w:ilvl w:val="1"/>
                <w:numId w:val="6"/>
              </w:numPr>
              <w:shd w:val="clear" w:color="auto" w:fill="FFFFFF"/>
              <w:spacing w:before="100" w:beforeAutospacing="1" w:after="100" w:afterAutospacing="1"/>
              <w:ind w:left="436" w:hanging="270"/>
              <w:jc w:val="both"/>
              <w:rPr>
                <w:rFonts w:ascii="Arial" w:hAnsi="Arial" w:cs="Arial"/>
                <w:sz w:val="20"/>
                <w:szCs w:val="20"/>
                <w:lang w:val="en-GB" w:eastAsia="lt-LT"/>
              </w:rPr>
            </w:pPr>
            <w:r w:rsidRPr="00AB203B">
              <w:rPr>
                <w:rFonts w:ascii="Arial" w:hAnsi="Arial" w:cs="Arial"/>
                <w:sz w:val="20"/>
                <w:szCs w:val="20"/>
                <w:lang w:val="en-GB" w:eastAsia="lt-LT"/>
              </w:rPr>
              <w:t>According to the Prospectus, a period of 6 (six) months is provided for the remediation of financial conditions, if the Company does not comply with any of them, also establishing that if the financial condition is corrected within the specified period, this is not an event of default of the Bonds;</w:t>
            </w:r>
          </w:p>
          <w:p w14:paraId="72A638F0" w14:textId="77777777" w:rsidR="00B91130" w:rsidRPr="00AB203B" w:rsidRDefault="00B91130" w:rsidP="00AB203B">
            <w:pPr>
              <w:pStyle w:val="ListParagraph"/>
              <w:numPr>
                <w:ilvl w:val="1"/>
                <w:numId w:val="6"/>
              </w:numPr>
              <w:shd w:val="clear" w:color="auto" w:fill="FFFFFF"/>
              <w:spacing w:before="100" w:beforeAutospacing="1" w:after="100" w:afterAutospacing="1"/>
              <w:ind w:left="436" w:hanging="270"/>
              <w:jc w:val="both"/>
              <w:rPr>
                <w:rFonts w:ascii="Arial" w:hAnsi="Arial" w:cs="Arial"/>
                <w:sz w:val="20"/>
                <w:szCs w:val="20"/>
                <w:lang w:val="en-GB" w:eastAsia="lt-LT"/>
              </w:rPr>
            </w:pPr>
            <w:r w:rsidRPr="00AB203B">
              <w:rPr>
                <w:rFonts w:ascii="Arial" w:hAnsi="Arial" w:cs="Arial"/>
                <w:sz w:val="20"/>
                <w:szCs w:val="20"/>
                <w:lang w:val="en-GB" w:eastAsia="lt-LT"/>
              </w:rPr>
              <w:t xml:space="preserve">After completing the audit of the Company's 2021 annual financial statements (hereinafter - Financial Statements) and after the Company announced the Financial Statements to the public on April 19, 2022, it became clear that it does not fulfil one of the financial conditions stipulated in the Prospectus and the Final </w:t>
            </w:r>
            <w:r w:rsidRPr="00AB203B">
              <w:rPr>
                <w:rFonts w:ascii="Arial" w:hAnsi="Arial" w:cs="Arial"/>
                <w:sz w:val="20"/>
                <w:szCs w:val="20"/>
                <w:lang w:val="en-GB" w:eastAsia="lt-LT"/>
              </w:rPr>
              <w:lastRenderedPageBreak/>
              <w:t>Conditions: Interest coverage ratio, which must be 2, according to the Financial Statements was 1.61 (hereinafter - Financial Condition);</w:t>
            </w:r>
          </w:p>
          <w:p w14:paraId="6DE33636" w14:textId="77777777" w:rsidR="00B91130" w:rsidRPr="00AB203B" w:rsidRDefault="00B91130" w:rsidP="00AB203B">
            <w:pPr>
              <w:pStyle w:val="ListParagraph"/>
              <w:numPr>
                <w:ilvl w:val="1"/>
                <w:numId w:val="6"/>
              </w:numPr>
              <w:shd w:val="clear" w:color="auto" w:fill="FFFFFF"/>
              <w:spacing w:before="100" w:beforeAutospacing="1" w:after="100" w:afterAutospacing="1"/>
              <w:ind w:left="436" w:hanging="270"/>
              <w:jc w:val="both"/>
              <w:rPr>
                <w:rFonts w:ascii="Arial" w:hAnsi="Arial" w:cs="Arial"/>
                <w:sz w:val="20"/>
                <w:szCs w:val="20"/>
                <w:lang w:val="en-GB" w:eastAsia="lt-LT"/>
              </w:rPr>
            </w:pPr>
            <w:r w:rsidRPr="00AB203B">
              <w:rPr>
                <w:rFonts w:ascii="Arial" w:hAnsi="Arial" w:cs="Arial"/>
                <w:sz w:val="20"/>
                <w:szCs w:val="20"/>
                <w:lang w:val="en-GB" w:eastAsia="lt-LT"/>
              </w:rPr>
              <w:t>Non-compliance of the Financial Condition according to the Prospectus and Final Conditions is not an event of default for the Bonds - this would become an event of default only if the Company's non-compliance of the Financial Condition was not remedied within the 6 (six) month rectification period specified above;</w:t>
            </w:r>
          </w:p>
          <w:p w14:paraId="40A3AC87" w14:textId="77777777" w:rsidR="00B91130" w:rsidRPr="00AB203B" w:rsidRDefault="00B91130" w:rsidP="00AB203B">
            <w:pPr>
              <w:pStyle w:val="ListParagraph"/>
              <w:numPr>
                <w:ilvl w:val="1"/>
                <w:numId w:val="6"/>
              </w:numPr>
              <w:shd w:val="clear" w:color="auto" w:fill="FFFFFF"/>
              <w:spacing w:before="100" w:beforeAutospacing="1" w:after="100" w:afterAutospacing="1"/>
              <w:ind w:left="436" w:hanging="270"/>
              <w:jc w:val="both"/>
              <w:rPr>
                <w:rFonts w:ascii="Arial" w:hAnsi="Arial" w:cs="Arial"/>
                <w:sz w:val="20"/>
                <w:szCs w:val="20"/>
                <w:lang w:val="en-GB" w:eastAsia="lt-LT"/>
              </w:rPr>
            </w:pPr>
            <w:r w:rsidRPr="00AB203B">
              <w:rPr>
                <w:rFonts w:ascii="Arial" w:hAnsi="Arial" w:cs="Arial"/>
                <w:sz w:val="20"/>
                <w:szCs w:val="20"/>
                <w:lang w:val="en-GB" w:eastAsia="lt-LT"/>
              </w:rPr>
              <w:t xml:space="preserve">The Company corrected the non-compliance within the specified 6 (six) month correction period. This is confirmed by the </w:t>
            </w:r>
            <w:hyperlink r:id="rId7" w:history="1">
              <w:r w:rsidRPr="00AB203B">
                <w:rPr>
                  <w:rFonts w:ascii="Arial" w:hAnsi="Arial" w:cs="Arial"/>
                  <w:sz w:val="20"/>
                  <w:szCs w:val="20"/>
                  <w:lang w:val="en-GB"/>
                </w:rPr>
                <w:t>Company's Consolidated interim financial statements for 6 months period ending in 2022 June 30</w:t>
              </w:r>
            </w:hyperlink>
            <w:r w:rsidRPr="00AB203B">
              <w:rPr>
                <w:rFonts w:ascii="Arial" w:hAnsi="Arial" w:cs="Arial"/>
                <w:sz w:val="20"/>
                <w:szCs w:val="20"/>
                <w:lang w:val="en-GB" w:eastAsia="lt-LT"/>
              </w:rPr>
              <w:t xml:space="preserve"> (hereinafter - Semi-Annual Reports), according to which the Financial Condition is 2.1;</w:t>
            </w:r>
          </w:p>
          <w:p w14:paraId="621E9B12" w14:textId="77777777" w:rsidR="00B91130" w:rsidRPr="00AB203B" w:rsidRDefault="00B91130" w:rsidP="00AB203B">
            <w:pPr>
              <w:pStyle w:val="ListParagraph"/>
              <w:numPr>
                <w:ilvl w:val="1"/>
                <w:numId w:val="6"/>
              </w:numPr>
              <w:shd w:val="clear" w:color="auto" w:fill="FFFFFF"/>
              <w:spacing w:before="100" w:beforeAutospacing="1" w:after="100" w:afterAutospacing="1"/>
              <w:ind w:left="436" w:hanging="270"/>
              <w:jc w:val="both"/>
              <w:rPr>
                <w:rFonts w:ascii="Arial" w:hAnsi="Arial" w:cs="Arial"/>
                <w:sz w:val="20"/>
                <w:szCs w:val="20"/>
                <w:lang w:val="en-GB" w:eastAsia="lt-LT"/>
              </w:rPr>
            </w:pPr>
            <w:r w:rsidRPr="00AB203B">
              <w:rPr>
                <w:rFonts w:ascii="Arial" w:hAnsi="Arial" w:cs="Arial"/>
                <w:sz w:val="20"/>
                <w:szCs w:val="20"/>
                <w:lang w:val="en-GB" w:eastAsia="lt-LT"/>
              </w:rPr>
              <w:t>According to the Prospectus, the Financial Condition can be determined only once a year based on the data of the Company's Consolidated Annual Audited Financial Statement, which will be approved only in April 2023, therefore, due to these objective reasons, it is not possible to provide proof of the correction of non-compliance of the Financial Condition set out in the Prospectus, even if the Financial Condition is fixed.</w:t>
            </w:r>
          </w:p>
          <w:p w14:paraId="4B2FEE2F" w14:textId="77777777" w:rsidR="00B91130" w:rsidRPr="00AB203B" w:rsidRDefault="00B91130" w:rsidP="00B91130">
            <w:pPr>
              <w:pStyle w:val="ListParagraph"/>
              <w:shd w:val="clear" w:color="auto" w:fill="FFFFFF"/>
              <w:spacing w:before="100" w:beforeAutospacing="1" w:after="100" w:afterAutospacing="1"/>
              <w:jc w:val="both"/>
              <w:rPr>
                <w:rFonts w:ascii="Arial" w:hAnsi="Arial" w:cs="Arial"/>
                <w:sz w:val="20"/>
                <w:szCs w:val="20"/>
                <w:lang w:val="en-GB" w:eastAsia="lt-LT"/>
              </w:rPr>
            </w:pPr>
          </w:p>
          <w:p w14:paraId="29B8F96C" w14:textId="08D16974" w:rsidR="00B91130" w:rsidRPr="00AB203B" w:rsidRDefault="00B91130" w:rsidP="00B91130">
            <w:pPr>
              <w:pStyle w:val="ListParagraph"/>
              <w:shd w:val="clear" w:color="auto" w:fill="FFFFFF"/>
              <w:spacing w:before="100" w:beforeAutospacing="1" w:after="100" w:afterAutospacing="1"/>
              <w:ind w:left="166"/>
              <w:jc w:val="both"/>
              <w:rPr>
                <w:rFonts w:ascii="Arial" w:hAnsi="Arial" w:cs="Arial"/>
                <w:b/>
                <w:bCs/>
                <w:color w:val="000000"/>
                <w:sz w:val="20"/>
                <w:szCs w:val="20"/>
                <w:lang w:val="en-GB"/>
              </w:rPr>
            </w:pPr>
            <w:r w:rsidRPr="00AB203B">
              <w:rPr>
                <w:rFonts w:ascii="Arial" w:hAnsi="Arial" w:cs="Arial"/>
                <w:b/>
                <w:bCs/>
                <w:sz w:val="20"/>
                <w:szCs w:val="20"/>
                <w:lang w:val="en-GB" w:eastAsia="lt-LT"/>
              </w:rPr>
              <w:t>It is proposed to confirm that</w:t>
            </w:r>
            <w:r w:rsidRPr="00AB203B">
              <w:rPr>
                <w:rFonts w:ascii="Arial" w:hAnsi="Arial" w:cs="Arial"/>
                <w:sz w:val="20"/>
                <w:szCs w:val="20"/>
                <w:lang w:val="en-GB" w:eastAsia="lt-LT"/>
              </w:rPr>
              <w:t>, based on the data of the Semi-Annual Report, the Company correctly and timely remedied the identified non-compliance of the Financial Condition during the 6 (six) month correction period.</w:t>
            </w:r>
          </w:p>
          <w:p w14:paraId="423C623A" w14:textId="77777777" w:rsidR="009A479B" w:rsidRPr="003B4220" w:rsidRDefault="009A479B" w:rsidP="00D44B47">
            <w:pPr>
              <w:pStyle w:val="BodyText"/>
              <w:rPr>
                <w:rFonts w:ascii="Arial" w:hAnsi="Arial" w:cs="Arial"/>
                <w:sz w:val="20"/>
                <w:szCs w:val="20"/>
              </w:rPr>
            </w:pPr>
          </w:p>
          <w:p w14:paraId="21911CF8" w14:textId="77777777" w:rsidR="009A479B" w:rsidRPr="004D171C" w:rsidRDefault="009A479B" w:rsidP="00D44B47">
            <w:pPr>
              <w:pStyle w:val="BodyText"/>
              <w:spacing w:line="288" w:lineRule="auto"/>
              <w:rPr>
                <w:rFonts w:ascii="Arial" w:hAnsi="Arial" w:cs="Arial"/>
                <w:sz w:val="20"/>
                <w:szCs w:val="20"/>
              </w:rPr>
            </w:pPr>
          </w:p>
        </w:tc>
        <w:tc>
          <w:tcPr>
            <w:tcW w:w="1227" w:type="dxa"/>
            <w:vAlign w:val="center"/>
          </w:tcPr>
          <w:p w14:paraId="57111E06" w14:textId="77777777" w:rsidR="009A479B" w:rsidRPr="004D171C" w:rsidRDefault="009A479B" w:rsidP="00D44B47">
            <w:pPr>
              <w:jc w:val="center"/>
              <w:rPr>
                <w:rFonts w:ascii="Arial" w:hAnsi="Arial" w:cs="Arial"/>
                <w:b/>
                <w:sz w:val="20"/>
                <w:szCs w:val="20"/>
              </w:rPr>
            </w:pPr>
            <w:r w:rsidRPr="004D171C">
              <w:rPr>
                <w:rFonts w:ascii="Arial" w:hAnsi="Arial" w:cs="Arial"/>
                <w:b/>
                <w:sz w:val="20"/>
                <w:szCs w:val="20"/>
              </w:rPr>
              <w:lastRenderedPageBreak/>
              <w:t>„Už“</w:t>
            </w:r>
          </w:p>
          <w:p w14:paraId="46B9B468" w14:textId="77777777" w:rsidR="009A479B" w:rsidRPr="004D171C" w:rsidRDefault="009A479B" w:rsidP="00D44B47">
            <w:pPr>
              <w:jc w:val="center"/>
              <w:rPr>
                <w:rFonts w:ascii="Arial" w:hAnsi="Arial" w:cs="Arial"/>
                <w:b/>
                <w:sz w:val="20"/>
                <w:szCs w:val="20"/>
              </w:rPr>
            </w:pPr>
            <w:r w:rsidRPr="004D171C">
              <w:rPr>
                <w:rFonts w:ascii="Arial" w:hAnsi="Arial" w:cs="Arial"/>
                <w:b/>
                <w:sz w:val="20"/>
                <w:szCs w:val="20"/>
              </w:rPr>
              <w:t>„For“</w:t>
            </w:r>
          </w:p>
        </w:tc>
        <w:tc>
          <w:tcPr>
            <w:tcW w:w="1205" w:type="dxa"/>
            <w:vAlign w:val="center"/>
          </w:tcPr>
          <w:p w14:paraId="5D4AC6A8" w14:textId="77777777" w:rsidR="009A479B" w:rsidRPr="004D171C" w:rsidRDefault="009A479B" w:rsidP="00D44B47">
            <w:pPr>
              <w:jc w:val="center"/>
              <w:rPr>
                <w:rFonts w:ascii="Arial" w:hAnsi="Arial" w:cs="Arial"/>
                <w:b/>
                <w:sz w:val="20"/>
                <w:szCs w:val="20"/>
              </w:rPr>
            </w:pPr>
            <w:r w:rsidRPr="004D171C">
              <w:rPr>
                <w:rFonts w:ascii="Arial" w:hAnsi="Arial" w:cs="Arial"/>
                <w:b/>
                <w:sz w:val="20"/>
                <w:szCs w:val="20"/>
              </w:rPr>
              <w:t>„Prieš“</w:t>
            </w:r>
          </w:p>
          <w:p w14:paraId="18B402CF" w14:textId="77777777" w:rsidR="009A479B" w:rsidRPr="004D171C" w:rsidRDefault="009A479B" w:rsidP="00D44B47">
            <w:pPr>
              <w:jc w:val="center"/>
              <w:rPr>
                <w:rFonts w:ascii="Arial" w:hAnsi="Arial" w:cs="Arial"/>
                <w:b/>
                <w:sz w:val="20"/>
                <w:szCs w:val="20"/>
              </w:rPr>
            </w:pPr>
            <w:r w:rsidRPr="004D171C">
              <w:rPr>
                <w:rFonts w:ascii="Arial" w:hAnsi="Arial" w:cs="Arial"/>
                <w:b/>
                <w:sz w:val="20"/>
                <w:szCs w:val="20"/>
              </w:rPr>
              <w:t>„Against“</w:t>
            </w:r>
          </w:p>
        </w:tc>
      </w:tr>
    </w:tbl>
    <w:p w14:paraId="6269E62B" w14:textId="77777777" w:rsidR="009A479B" w:rsidRPr="004D171C" w:rsidRDefault="009A479B" w:rsidP="009A479B">
      <w:pPr>
        <w:spacing w:line="288" w:lineRule="auto"/>
        <w:jc w:val="both"/>
        <w:rPr>
          <w:rFonts w:ascii="Arial" w:hAnsi="Arial" w:cs="Arial"/>
          <w:b/>
          <w:sz w:val="20"/>
          <w:szCs w:val="20"/>
        </w:rPr>
      </w:pPr>
    </w:p>
    <w:p w14:paraId="13AFD7BE" w14:textId="32FEADC5" w:rsidR="009A479B" w:rsidRDefault="009A479B" w:rsidP="009A479B">
      <w:pPr>
        <w:spacing w:line="288" w:lineRule="auto"/>
        <w:ind w:left="-426"/>
        <w:jc w:val="both"/>
        <w:rPr>
          <w:rFonts w:ascii="Arial" w:hAnsi="Arial" w:cs="Arial"/>
          <w:sz w:val="20"/>
          <w:szCs w:val="20"/>
        </w:rPr>
      </w:pPr>
      <w:r w:rsidRPr="004D171C">
        <w:rPr>
          <w:rFonts w:ascii="Arial" w:hAnsi="Arial" w:cs="Arial"/>
          <w:b/>
          <w:sz w:val="20"/>
          <w:szCs w:val="20"/>
        </w:rPr>
        <w:t>Pastabos</w:t>
      </w:r>
      <w:r w:rsidR="00AB203B">
        <w:rPr>
          <w:rFonts w:ascii="Arial" w:hAnsi="Arial" w:cs="Arial"/>
          <w:b/>
          <w:sz w:val="20"/>
          <w:szCs w:val="20"/>
        </w:rPr>
        <w:t xml:space="preserve"> / Comments</w:t>
      </w:r>
      <w:r w:rsidRPr="004D171C">
        <w:rPr>
          <w:rFonts w:ascii="Arial" w:hAnsi="Arial" w:cs="Arial"/>
          <w:b/>
          <w:sz w:val="20"/>
          <w:szCs w:val="20"/>
        </w:rPr>
        <w:t>:</w:t>
      </w:r>
      <w:r w:rsidRPr="004D171C">
        <w:rPr>
          <w:rFonts w:ascii="Arial" w:hAnsi="Arial" w:cs="Arial"/>
          <w:sz w:val="20"/>
          <w:szCs w:val="20"/>
        </w:rPr>
        <w:t xml:space="preserve"> </w:t>
      </w:r>
    </w:p>
    <w:p w14:paraId="5BF443FA" w14:textId="77777777" w:rsidR="009A479B" w:rsidRDefault="009A479B" w:rsidP="009A479B">
      <w:pPr>
        <w:spacing w:line="288" w:lineRule="auto"/>
        <w:ind w:left="-426"/>
        <w:jc w:val="both"/>
        <w:rPr>
          <w:rFonts w:ascii="Arial" w:hAnsi="Arial" w:cs="Arial"/>
          <w:sz w:val="20"/>
          <w:szCs w:val="20"/>
        </w:rPr>
      </w:pPr>
    </w:p>
    <w:p w14:paraId="1BBD2661" w14:textId="77777777" w:rsidR="009A479B" w:rsidRPr="006F37F3" w:rsidRDefault="009A479B" w:rsidP="009A479B">
      <w:pPr>
        <w:spacing w:line="288" w:lineRule="auto"/>
        <w:ind w:left="-426"/>
        <w:jc w:val="both"/>
        <w:rPr>
          <w:rFonts w:ascii="Arial" w:hAnsi="Arial" w:cs="Arial"/>
          <w:iCs/>
          <w:sz w:val="20"/>
          <w:szCs w:val="20"/>
        </w:rPr>
      </w:pPr>
    </w:p>
    <w:p w14:paraId="42761BB9" w14:textId="77777777" w:rsidR="009A479B" w:rsidRPr="004D171C" w:rsidRDefault="009A479B" w:rsidP="009A479B">
      <w:pPr>
        <w:spacing w:line="288" w:lineRule="auto"/>
        <w:jc w:val="both"/>
        <w:rPr>
          <w:rFonts w:ascii="Arial" w:hAnsi="Arial" w:cs="Arial"/>
          <w:i/>
          <w:iCs/>
          <w:sz w:val="20"/>
          <w:szCs w:val="20"/>
        </w:rPr>
      </w:pPr>
    </w:p>
    <w:p w14:paraId="481262CC" w14:textId="77777777" w:rsidR="009A479B" w:rsidRPr="004D171C" w:rsidRDefault="009A479B" w:rsidP="009A479B">
      <w:pPr>
        <w:tabs>
          <w:tab w:val="left" w:pos="1560"/>
        </w:tabs>
        <w:spacing w:line="288" w:lineRule="auto"/>
        <w:jc w:val="both"/>
        <w:rPr>
          <w:rFonts w:ascii="Arial" w:hAnsi="Arial" w:cs="Arial"/>
          <w:sz w:val="20"/>
          <w:szCs w:val="20"/>
        </w:rPr>
      </w:pPr>
      <w:r w:rsidRPr="004D171C">
        <w:rPr>
          <w:rFonts w:ascii="Arial" w:hAnsi="Arial" w:cs="Arial"/>
          <w:sz w:val="20"/>
          <w:szCs w:val="20"/>
        </w:rPr>
        <w:t>_______</w:t>
      </w:r>
      <w:r w:rsidRPr="004D171C">
        <w:rPr>
          <w:rFonts w:ascii="Arial" w:hAnsi="Arial" w:cs="Arial"/>
          <w:sz w:val="20"/>
          <w:szCs w:val="20"/>
        </w:rPr>
        <w:tab/>
        <w:t>____________________________________________________________________________</w:t>
      </w:r>
    </w:p>
    <w:p w14:paraId="305A8734" w14:textId="06683CA5" w:rsidR="009A479B" w:rsidRPr="00FE2414" w:rsidRDefault="009A479B" w:rsidP="00606CF6">
      <w:pPr>
        <w:spacing w:line="288" w:lineRule="auto"/>
        <w:ind w:left="540" w:hanging="720"/>
        <w:jc w:val="both"/>
        <w:rPr>
          <w:rFonts w:ascii="Arial" w:hAnsi="Arial" w:cs="Arial"/>
          <w:i/>
          <w:iCs/>
          <w:sz w:val="20"/>
          <w:szCs w:val="20"/>
        </w:rPr>
      </w:pPr>
      <w:r w:rsidRPr="004D171C">
        <w:rPr>
          <w:rFonts w:ascii="Arial" w:hAnsi="Arial" w:cs="Arial"/>
          <w:i/>
          <w:iCs/>
          <w:sz w:val="20"/>
          <w:szCs w:val="20"/>
        </w:rPr>
        <w:t xml:space="preserve">Data (Date) </w:t>
      </w:r>
      <w:r w:rsidRPr="004D171C">
        <w:rPr>
          <w:rFonts w:ascii="Arial" w:hAnsi="Arial" w:cs="Arial"/>
          <w:i/>
          <w:iCs/>
          <w:sz w:val="20"/>
          <w:szCs w:val="20"/>
        </w:rPr>
        <w:tab/>
      </w:r>
      <w:r w:rsidR="00606CF6">
        <w:rPr>
          <w:rFonts w:ascii="Arial" w:hAnsi="Arial" w:cs="Arial"/>
          <w:sz w:val="20"/>
          <w:szCs w:val="20"/>
        </w:rPr>
        <w:t>obligacijų savininko</w:t>
      </w:r>
      <w:r w:rsidRPr="00FE2414">
        <w:rPr>
          <w:rFonts w:ascii="Arial" w:hAnsi="Arial" w:cs="Arial"/>
          <w:sz w:val="20"/>
          <w:szCs w:val="20"/>
        </w:rPr>
        <w:t xml:space="preserve"> (ar kito asmens, turinčio teisę balsuoti jo </w:t>
      </w:r>
      <w:r w:rsidR="00606CF6">
        <w:rPr>
          <w:rFonts w:ascii="Arial" w:hAnsi="Arial" w:cs="Arial"/>
          <w:sz w:val="20"/>
          <w:szCs w:val="20"/>
        </w:rPr>
        <w:t>obligacijom</w:t>
      </w:r>
      <w:r w:rsidRPr="00FE2414">
        <w:rPr>
          <w:rFonts w:ascii="Arial" w:hAnsi="Arial" w:cs="Arial"/>
          <w:sz w:val="20"/>
          <w:szCs w:val="20"/>
        </w:rPr>
        <w:t>) vardas, pavardė, parašas</w:t>
      </w:r>
      <w:r>
        <w:rPr>
          <w:rFonts w:ascii="Arial" w:hAnsi="Arial" w:cs="Arial"/>
          <w:i/>
          <w:iCs/>
          <w:sz w:val="20"/>
          <w:szCs w:val="20"/>
        </w:rPr>
        <w:t>/</w:t>
      </w:r>
      <w:r w:rsidR="00606CF6">
        <w:rPr>
          <w:rFonts w:ascii="Arial" w:hAnsi="Arial" w:cs="Arial"/>
          <w:i/>
          <w:iCs/>
          <w:sz w:val="20"/>
          <w:szCs w:val="20"/>
        </w:rPr>
        <w:t xml:space="preserve"> </w:t>
      </w:r>
      <w:r w:rsidRPr="004D171C">
        <w:rPr>
          <w:rFonts w:ascii="Arial" w:hAnsi="Arial" w:cs="Arial"/>
          <w:i/>
          <w:iCs/>
          <w:sz w:val="20"/>
          <w:szCs w:val="20"/>
          <w:lang w:val="en-GB"/>
        </w:rPr>
        <w:t xml:space="preserve">Name, surname, signature of the </w:t>
      </w:r>
      <w:r w:rsidR="00606CF6">
        <w:rPr>
          <w:rFonts w:ascii="Arial" w:hAnsi="Arial" w:cs="Arial"/>
          <w:i/>
          <w:iCs/>
          <w:sz w:val="20"/>
          <w:szCs w:val="20"/>
          <w:lang w:val="en-GB"/>
        </w:rPr>
        <w:t>bond</w:t>
      </w:r>
      <w:r w:rsidRPr="004D171C">
        <w:rPr>
          <w:rFonts w:ascii="Arial" w:hAnsi="Arial" w:cs="Arial"/>
          <w:i/>
          <w:iCs/>
          <w:sz w:val="20"/>
          <w:szCs w:val="20"/>
          <w:lang w:val="en-GB"/>
        </w:rPr>
        <w:t>holder (or the</w:t>
      </w:r>
      <w:r w:rsidRPr="004D171C">
        <w:rPr>
          <w:rFonts w:ascii="Arial" w:hAnsi="Arial" w:cs="Arial"/>
          <w:i/>
          <w:iCs/>
          <w:color w:val="000000"/>
          <w:sz w:val="20"/>
          <w:szCs w:val="20"/>
          <w:lang w:val="en-GB" w:eastAsia="lt-LT"/>
        </w:rPr>
        <w:t xml:space="preserve"> </w:t>
      </w:r>
      <w:r w:rsidRPr="004D171C">
        <w:rPr>
          <w:rFonts w:ascii="Arial" w:hAnsi="Arial" w:cs="Arial"/>
          <w:i/>
          <w:iCs/>
          <w:sz w:val="20"/>
          <w:szCs w:val="20"/>
          <w:lang w:val="en-GB"/>
        </w:rPr>
        <w:t xml:space="preserve">person, having right to vote by the </w:t>
      </w:r>
      <w:r w:rsidR="00606CF6">
        <w:rPr>
          <w:rFonts w:ascii="Arial" w:hAnsi="Arial" w:cs="Arial"/>
          <w:i/>
          <w:iCs/>
          <w:sz w:val="20"/>
          <w:szCs w:val="20"/>
          <w:lang w:val="en-GB"/>
        </w:rPr>
        <w:t>bonds</w:t>
      </w:r>
      <w:r w:rsidRPr="004D171C">
        <w:rPr>
          <w:rFonts w:ascii="Arial" w:hAnsi="Arial" w:cs="Arial"/>
          <w:i/>
          <w:iCs/>
          <w:sz w:val="20"/>
          <w:szCs w:val="20"/>
          <w:lang w:val="en-GB"/>
        </w:rPr>
        <w:t xml:space="preserve">, owned by a </w:t>
      </w:r>
      <w:r w:rsidR="00606CF6">
        <w:rPr>
          <w:rFonts w:ascii="Arial" w:hAnsi="Arial" w:cs="Arial"/>
          <w:i/>
          <w:iCs/>
          <w:sz w:val="20"/>
          <w:szCs w:val="20"/>
          <w:lang w:val="en-GB"/>
        </w:rPr>
        <w:t>Bond</w:t>
      </w:r>
      <w:r w:rsidRPr="004D171C">
        <w:rPr>
          <w:rFonts w:ascii="Arial" w:hAnsi="Arial" w:cs="Arial"/>
          <w:i/>
          <w:iCs/>
          <w:sz w:val="20"/>
          <w:szCs w:val="20"/>
          <w:lang w:val="en-GB"/>
        </w:rPr>
        <w:t>holder)</w:t>
      </w:r>
    </w:p>
    <w:p w14:paraId="4213EFED" w14:textId="77777777" w:rsidR="00604230" w:rsidRDefault="00604230"/>
    <w:sectPr w:rsidR="00604230" w:rsidSect="00606CF6">
      <w:pgSz w:w="11906" w:h="16838"/>
      <w:pgMar w:top="1080" w:right="707" w:bottom="567" w:left="1134" w:header="1134" w:footer="1134"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69C7"/>
    <w:multiLevelType w:val="multilevel"/>
    <w:tmpl w:val="8390D4D8"/>
    <w:lvl w:ilvl="0">
      <w:start w:val="1"/>
      <w:numFmt w:val="decimal"/>
      <w:lvlText w:val="%1."/>
      <w:lvlJc w:val="left"/>
      <w:pPr>
        <w:tabs>
          <w:tab w:val="num" w:pos="720"/>
        </w:tabs>
        <w:ind w:left="720" w:hanging="360"/>
      </w:pPr>
    </w:lvl>
    <w:lvl w:ilvl="1">
      <w:start w:val="1"/>
      <w:numFmt w:val="upperLetter"/>
      <w:lvlText w:val="%2."/>
      <w:lvlJc w:val="left"/>
      <w:pPr>
        <w:ind w:left="900" w:hanging="360"/>
      </w:pPr>
      <w:rPr>
        <w:rFonts w:hint="default"/>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0385E"/>
    <w:multiLevelType w:val="hybridMultilevel"/>
    <w:tmpl w:val="5506630C"/>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 w15:restartNumberingAfterBreak="0">
    <w:nsid w:val="10E54ED4"/>
    <w:multiLevelType w:val="hybridMultilevel"/>
    <w:tmpl w:val="C0F4F6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2222A"/>
    <w:multiLevelType w:val="multilevel"/>
    <w:tmpl w:val="8390D4D8"/>
    <w:lvl w:ilvl="0">
      <w:start w:val="1"/>
      <w:numFmt w:val="decimal"/>
      <w:lvlText w:val="%1."/>
      <w:lvlJc w:val="left"/>
      <w:pPr>
        <w:tabs>
          <w:tab w:val="num" w:pos="720"/>
        </w:tabs>
        <w:ind w:left="720" w:hanging="360"/>
      </w:pPr>
    </w:lvl>
    <w:lvl w:ilvl="1">
      <w:start w:val="1"/>
      <w:numFmt w:val="upperLetter"/>
      <w:lvlText w:val="%2."/>
      <w:lvlJc w:val="left"/>
      <w:pPr>
        <w:ind w:left="450" w:hanging="360"/>
      </w:pPr>
      <w:rPr>
        <w:rFonts w:hint="default"/>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4551A3"/>
    <w:multiLevelType w:val="multilevel"/>
    <w:tmpl w:val="8390D4D8"/>
    <w:lvl w:ilvl="0">
      <w:start w:val="1"/>
      <w:numFmt w:val="decimal"/>
      <w:lvlText w:val="%1."/>
      <w:lvlJc w:val="left"/>
      <w:pPr>
        <w:tabs>
          <w:tab w:val="num" w:pos="720"/>
        </w:tabs>
        <w:ind w:left="720" w:hanging="360"/>
      </w:pPr>
    </w:lvl>
    <w:lvl w:ilvl="1">
      <w:start w:val="1"/>
      <w:numFmt w:val="upperLetter"/>
      <w:lvlText w:val="%2."/>
      <w:lvlJc w:val="left"/>
      <w:pPr>
        <w:ind w:left="900" w:hanging="360"/>
      </w:pPr>
      <w:rPr>
        <w:rFonts w:hint="default"/>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1E2BEE"/>
    <w:multiLevelType w:val="hybridMultilevel"/>
    <w:tmpl w:val="C0F4F6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9829265">
    <w:abstractNumId w:val="2"/>
  </w:num>
  <w:num w:numId="2" w16cid:durableId="445084754">
    <w:abstractNumId w:val="5"/>
  </w:num>
  <w:num w:numId="3" w16cid:durableId="1347437089">
    <w:abstractNumId w:val="1"/>
  </w:num>
  <w:num w:numId="4" w16cid:durableId="290985866">
    <w:abstractNumId w:val="0"/>
    <w:lvlOverride w:ilvl="0">
      <w:startOverride w:val="1"/>
    </w:lvlOverride>
  </w:num>
  <w:num w:numId="5" w16cid:durableId="576015430">
    <w:abstractNumId w:val="4"/>
  </w:num>
  <w:num w:numId="6" w16cid:durableId="1530101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79B"/>
    <w:rsid w:val="00225C03"/>
    <w:rsid w:val="002F7A98"/>
    <w:rsid w:val="003B4220"/>
    <w:rsid w:val="00604230"/>
    <w:rsid w:val="00606CF6"/>
    <w:rsid w:val="00687E33"/>
    <w:rsid w:val="007E662B"/>
    <w:rsid w:val="009A479B"/>
    <w:rsid w:val="00AB203B"/>
    <w:rsid w:val="00B65CD4"/>
    <w:rsid w:val="00B91130"/>
    <w:rsid w:val="00B97819"/>
    <w:rsid w:val="00D36138"/>
    <w:rsid w:val="00DF1189"/>
    <w:rsid w:val="00E0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4C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79B"/>
    <w:pPr>
      <w:spacing w:after="0" w:line="240" w:lineRule="auto"/>
    </w:pPr>
    <w:rPr>
      <w:rFonts w:ascii="Times New Roman" w:eastAsia="Times New Roman" w:hAnsi="Times New Roman" w:cs="Times New Roman"/>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479B"/>
    <w:pPr>
      <w:jc w:val="both"/>
    </w:pPr>
  </w:style>
  <w:style w:type="character" w:customStyle="1" w:styleId="BodyTextChar">
    <w:name w:val="Body Text Char"/>
    <w:basedOn w:val="DefaultParagraphFont"/>
    <w:link w:val="BodyText"/>
    <w:rsid w:val="009A479B"/>
    <w:rPr>
      <w:rFonts w:ascii="Times New Roman" w:eastAsia="Times New Roman" w:hAnsi="Times New Roman" w:cs="Times New Roman"/>
      <w:sz w:val="24"/>
      <w:szCs w:val="24"/>
      <w:lang w:val="lt-LT"/>
    </w:rPr>
  </w:style>
  <w:style w:type="paragraph" w:styleId="Title">
    <w:name w:val="Title"/>
    <w:basedOn w:val="Normal"/>
    <w:link w:val="TitleChar"/>
    <w:qFormat/>
    <w:rsid w:val="009A479B"/>
    <w:pPr>
      <w:spacing w:line="288" w:lineRule="auto"/>
      <w:jc w:val="center"/>
    </w:pPr>
    <w:rPr>
      <w:b/>
      <w:bCs/>
      <w:sz w:val="26"/>
      <w:u w:val="single"/>
      <w:lang w:val="x-none"/>
    </w:rPr>
  </w:style>
  <w:style w:type="character" w:customStyle="1" w:styleId="TitleChar">
    <w:name w:val="Title Char"/>
    <w:basedOn w:val="DefaultParagraphFont"/>
    <w:link w:val="Title"/>
    <w:rsid w:val="009A479B"/>
    <w:rPr>
      <w:rFonts w:ascii="Times New Roman" w:eastAsia="Times New Roman" w:hAnsi="Times New Roman" w:cs="Times New Roman"/>
      <w:b/>
      <w:bCs/>
      <w:sz w:val="26"/>
      <w:szCs w:val="24"/>
      <w:u w:val="single"/>
      <w:lang w:val="x-none"/>
    </w:rPr>
  </w:style>
  <w:style w:type="paragraph" w:styleId="ListParagraph">
    <w:name w:val="List Paragraph"/>
    <w:basedOn w:val="Normal"/>
    <w:uiPriority w:val="34"/>
    <w:qFormat/>
    <w:rsid w:val="009A479B"/>
    <w:pPr>
      <w:ind w:left="720"/>
      <w:contextualSpacing/>
    </w:pPr>
  </w:style>
  <w:style w:type="character" w:styleId="Hyperlink">
    <w:name w:val="Hyperlink"/>
    <w:basedOn w:val="DefaultParagraphFont"/>
    <w:unhideWhenUsed/>
    <w:rsid w:val="009A479B"/>
    <w:rPr>
      <w:color w:val="0000FF"/>
      <w:u w:val="single"/>
    </w:rPr>
  </w:style>
  <w:style w:type="character" w:styleId="CommentReference">
    <w:name w:val="annotation reference"/>
    <w:basedOn w:val="DefaultParagraphFont"/>
    <w:uiPriority w:val="99"/>
    <w:semiHidden/>
    <w:unhideWhenUsed/>
    <w:rsid w:val="00E04E60"/>
    <w:rPr>
      <w:sz w:val="16"/>
      <w:szCs w:val="16"/>
    </w:rPr>
  </w:style>
  <w:style w:type="paragraph" w:styleId="CommentText">
    <w:name w:val="annotation text"/>
    <w:basedOn w:val="Normal"/>
    <w:link w:val="CommentTextChar"/>
    <w:uiPriority w:val="99"/>
    <w:unhideWhenUsed/>
    <w:rsid w:val="00E04E60"/>
    <w:rPr>
      <w:sz w:val="20"/>
      <w:szCs w:val="20"/>
    </w:rPr>
  </w:style>
  <w:style w:type="character" w:customStyle="1" w:styleId="CommentTextChar">
    <w:name w:val="Comment Text Char"/>
    <w:basedOn w:val="DefaultParagraphFont"/>
    <w:link w:val="CommentText"/>
    <w:uiPriority w:val="99"/>
    <w:rsid w:val="00E04E60"/>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E04E60"/>
    <w:rPr>
      <w:b/>
      <w:bCs/>
    </w:rPr>
  </w:style>
  <w:style w:type="character" w:customStyle="1" w:styleId="CommentSubjectChar">
    <w:name w:val="Comment Subject Char"/>
    <w:basedOn w:val="CommentTextChar"/>
    <w:link w:val="CommentSubject"/>
    <w:uiPriority w:val="99"/>
    <w:semiHidden/>
    <w:rsid w:val="00E04E60"/>
    <w:rPr>
      <w:rFonts w:ascii="Times New Roman" w:eastAsia="Times New Roman" w:hAnsi="Times New Roman" w:cs="Times New Roman"/>
      <w:b/>
      <w:bCs/>
      <w:sz w:val="20"/>
      <w:szCs w:val="20"/>
      <w:lang w:val="lt-LT"/>
    </w:rPr>
  </w:style>
  <w:style w:type="paragraph" w:styleId="Revision">
    <w:name w:val="Revision"/>
    <w:hidden/>
    <w:uiPriority w:val="99"/>
    <w:semiHidden/>
    <w:rsid w:val="00687E33"/>
    <w:pPr>
      <w:spacing w:after="0" w:line="240" w:lineRule="auto"/>
    </w:pPr>
    <w:rPr>
      <w:rFonts w:ascii="Times New Roman" w:eastAsia="Times New Roman" w:hAnsi="Times New Roman" w:cs="Times New Roman"/>
      <w:sz w:val="24"/>
      <w:szCs w:val="24"/>
      <w:lang w:val="lt-LT"/>
    </w:rPr>
  </w:style>
  <w:style w:type="character" w:customStyle="1" w:styleId="rynqvb">
    <w:name w:val="rynqvb"/>
    <w:basedOn w:val="DefaultParagraphFont"/>
    <w:rsid w:val="00B97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30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asdaqbaltic.com/market/upload/reports/aug/2022_q2_lt_eur_con_ia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sdaqbaltic.com/market/upload/reports/aug/2022_q2_lt_eur_con_ia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97C29-9AE6-42EE-A0B6-1467FAEF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2022-11-11T09:10:00Z</dcterms:created>
  <dcterms:modified xsi:type="dcterms:W3CDTF">2022-11-11T09:11:00Z</dcterms:modified>
</cp:coreProperties>
</file>